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20"/>
        </w:rPr>
        <w:t>EduLinked Modular Learning System</w:t>
      </w:r>
    </w:p>
    <w:p>
      <w:pPr>
        <w:pStyle w:val="Heading1"/>
        <w:jc w:val="center"/>
      </w:pPr>
      <w:r>
        <w:t>EMLS Procurement Brief</w:t>
      </w:r>
    </w:p>
    <w:p>
      <w:pPr>
        <w:jc w:val="center"/>
      </w:pPr>
      <w:r>
        <w:rPr>
          <w:color w:val="42526E"/>
          <w:sz w:val="26"/>
        </w:rPr>
        <w:t>Customer-facing brief for organisations considering EMLS</w:t>
      </w:r>
    </w:p>
    <w:p>
      <w:pPr>
        <w:jc w:val="center"/>
      </w:pPr>
      <w:r>
        <w:rPr>
          <w:b/>
          <w:color w:val="DEA93F"/>
          <w:sz w:val="21"/>
        </w:rPr>
        <w:t>Access-first learning | modular delivery | partner-ready implementation</w:t>
      </w:r>
    </w:p>
    <w:p>
      <w:pPr>
        <w:spacing w:after="160" w:line="324" w:lineRule="auto"/>
      </w:pPr>
      <w:r>
        <w:rPr>
          <w:b/>
        </w:rPr>
        <w:t>This brief is for organisations considering the EduLinked Modular Learning System (EMLS) for accessible learning, digital inclusion, community education, or capability-building programs.</w:t>
      </w:r>
    </w:p>
    <w:p>
      <w:pPr>
        <w:pStyle w:val="Heading2"/>
        <w:spacing w:before="200" w:after="120"/>
      </w:pPr>
      <w:r>
        <w:t>What EMLS is</w:t>
      </w:r>
    </w:p>
    <w:p>
      <w:pPr>
        <w:spacing w:after="160" w:line="324" w:lineRule="auto"/>
      </w:pPr>
      <w:r>
        <w:rPr>
          <w:b w:val="0"/>
        </w:rPr>
        <w:t>EMLS is EduLinked’s modular learning system. It is designed to support card-based, accessible and facilitator-supported learning across institutional and public learning environments.</w:t>
      </w:r>
    </w:p>
    <w:p>
      <w:pPr>
        <w:pStyle w:val="ListBullet"/>
        <w:spacing w:after="100" w:line="312" w:lineRule="auto"/>
      </w:pPr>
      <w:r>
        <w:t>Modular learning structure that can be adapted to different sites and audiences.</w:t>
      </w:r>
    </w:p>
    <w:p>
      <w:pPr>
        <w:pStyle w:val="ListBullet"/>
        <w:spacing w:after="100" w:line="312" w:lineRule="auto"/>
      </w:pPr>
      <w:r>
        <w:t>Accessible communication approach, including plain language and alternative-format planning.</w:t>
      </w:r>
    </w:p>
    <w:p>
      <w:pPr>
        <w:pStyle w:val="ListBullet"/>
        <w:spacing w:after="100" w:line="312" w:lineRule="auto"/>
      </w:pPr>
      <w:r>
        <w:t>Support for facilitators, learners, partners and reporting workflows.</w:t>
      </w:r>
    </w:p>
    <w:p>
      <w:pPr>
        <w:pStyle w:val="ListBullet"/>
        <w:spacing w:after="100" w:line="312" w:lineRule="auto"/>
      </w:pPr>
      <w:r>
        <w:t>Designed for schools, libraries, councils, NGOs, education providers and disability-related settings.</w:t>
      </w:r>
    </w:p>
    <w:p>
      <w:pPr>
        <w:pStyle w:val="Heading2"/>
        <w:spacing w:before="200" w:after="120"/>
      </w:pPr>
      <w:r>
        <w:t>What an organisation may be procuring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Component</w:t>
            </w:r>
          </w:p>
        </w:tc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What it may include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Learning content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Modular resources, facilitator notes, learner activities, checklists and accessible summaries.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Implementation support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Discovery, setup, module selection, accessibility planning and delivery preparation.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Facilitator support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Quick-start guidance, delivery workflow support and verification-ready processes.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Reporting support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Baseline/follow-up surveys, progress measures, partner feedback and reporting templates.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Accessibility support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Plain-language, Easy Read-style, captions/transcripts and access preference workflows where applicable.</w:t>
            </w:r>
          </w:p>
        </w:tc>
      </w:tr>
    </w:tbl>
    <w:p/>
    <w:p>
      <w:pPr>
        <w:pStyle w:val="Heading2"/>
        <w:spacing w:before="200" w:after="120"/>
      </w:pPr>
      <w:r>
        <w:t>Who EMLS may suit</w:t>
      </w:r>
    </w:p>
    <w:p>
      <w:pPr>
        <w:pStyle w:val="ListBullet"/>
        <w:spacing w:after="100" w:line="312" w:lineRule="auto"/>
      </w:pPr>
      <w:r>
        <w:t>Schools and alternative education settings.</w:t>
      </w:r>
    </w:p>
    <w:p>
      <w:pPr>
        <w:pStyle w:val="ListBullet"/>
        <w:spacing w:after="100" w:line="312" w:lineRule="auto"/>
      </w:pPr>
      <w:r>
        <w:t>TAFE, adult learning and community education providers.</w:t>
      </w:r>
    </w:p>
    <w:p>
      <w:pPr>
        <w:pStyle w:val="ListBullet"/>
        <w:spacing w:after="100" w:line="312" w:lineRule="auto"/>
      </w:pPr>
      <w:r>
        <w:t>Libraries, councils and community development teams.</w:t>
      </w:r>
    </w:p>
    <w:p>
      <w:pPr>
        <w:pStyle w:val="ListBullet"/>
        <w:spacing w:after="100" w:line="312" w:lineRule="auto"/>
      </w:pPr>
      <w:r>
        <w:t>Disability services and inclusive program providers.</w:t>
      </w:r>
    </w:p>
    <w:p>
      <w:pPr>
        <w:pStyle w:val="ListBullet"/>
        <w:spacing w:after="100" w:line="312" w:lineRule="auto"/>
      </w:pPr>
      <w:r>
        <w:t>Arts, media, digital inclusion and youth participation programs.</w:t>
      </w:r>
    </w:p>
    <w:p>
      <w:pPr>
        <w:pStyle w:val="ListBullet"/>
        <w:spacing w:after="100" w:line="312" w:lineRule="auto"/>
      </w:pPr>
      <w:r>
        <w:t>Organisations seeking repeatable, accessible learning infrastructure.</w:t>
      </w:r>
    </w:p>
    <w:p>
      <w:pPr>
        <w:pStyle w:val="Heading2"/>
        <w:spacing w:before="200" w:after="120"/>
      </w:pPr>
      <w:r>
        <w:t>Procurement considerations</w:t>
      </w:r>
    </w:p>
    <w:p>
      <w:pPr>
        <w:pStyle w:val="ListBullet"/>
        <w:spacing w:after="100" w:line="312" w:lineRule="auto"/>
      </w:pPr>
      <w:r>
        <w:t>What learner group or community will use EMLS?</w:t>
      </w:r>
    </w:p>
    <w:p>
      <w:pPr>
        <w:pStyle w:val="ListBullet"/>
        <w:spacing w:after="100" w:line="312" w:lineRule="auto"/>
      </w:pPr>
      <w:r>
        <w:t>Which modules are the best starting point?</w:t>
      </w:r>
    </w:p>
    <w:p>
      <w:pPr>
        <w:pStyle w:val="ListBullet"/>
        <w:spacing w:after="100" w:line="312" w:lineRule="auto"/>
      </w:pPr>
      <w:r>
        <w:t>Will delivery be online, in person, hybrid or facilitator-led?</w:t>
      </w:r>
    </w:p>
    <w:p>
      <w:pPr>
        <w:pStyle w:val="ListBullet"/>
        <w:spacing w:after="100" w:line="312" w:lineRule="auto"/>
      </w:pPr>
      <w:r>
        <w:t>What accessibility and communication formats are needed?</w:t>
      </w:r>
    </w:p>
    <w:p>
      <w:pPr>
        <w:pStyle w:val="ListBullet"/>
        <w:spacing w:after="100" w:line="312" w:lineRule="auto"/>
      </w:pPr>
      <w:r>
        <w:t>Who will coordinate learners, facilitators, reporting and review?</w:t>
      </w:r>
    </w:p>
    <w:p>
      <w:pPr>
        <w:pStyle w:val="ListBullet"/>
        <w:spacing w:after="100" w:line="312" w:lineRule="auto"/>
      </w:pPr>
      <w:r>
        <w:t>What timeframe, budget and governance approvals are required?</w:t>
      </w:r>
    </w:p>
    <w:p>
      <w:pPr>
        <w:pStyle w:val="Heading2"/>
        <w:spacing w:before="200" w:after="120"/>
      </w:pPr>
      <w:r>
        <w:t>What EMLS does not guarantee</w:t>
      </w:r>
    </w:p>
    <w:p>
      <w:pPr>
        <w:pStyle w:val="ListBullet"/>
        <w:spacing w:after="100" w:line="312" w:lineRule="auto"/>
      </w:pPr>
      <w:r>
        <w:t>Employment, income or funding approval.</w:t>
      </w:r>
    </w:p>
    <w:p>
      <w:pPr>
        <w:pStyle w:val="ListBullet"/>
        <w:spacing w:after="100" w:line="312" w:lineRule="auto"/>
      </w:pPr>
      <w:r>
        <w:t>Clinical or therapeutic outcomes.</w:t>
      </w:r>
    </w:p>
    <w:p>
      <w:pPr>
        <w:pStyle w:val="ListBullet"/>
        <w:spacing w:after="100" w:line="312" w:lineRule="auto"/>
      </w:pPr>
      <w:r>
        <w:t>Formal accreditation unless separately confirmed.</w:t>
      </w:r>
    </w:p>
    <w:p>
      <w:pPr>
        <w:pStyle w:val="ListBullet"/>
        <w:spacing w:after="100" w:line="312" w:lineRule="auto"/>
      </w:pPr>
      <w:r>
        <w:t>Public showcase, publication or media reach.</w:t>
      </w:r>
    </w:p>
    <w:p>
      <w:pPr>
        <w:pStyle w:val="ListBullet"/>
        <w:spacing w:after="100" w:line="312" w:lineRule="auto"/>
      </w:pPr>
      <w:r>
        <w:t>A fixed delivery model without confirmed scope and resourcing.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10166"/>
            <w:shd w:fill="F7F5FF"/>
            <w:vAlign w:val="center"/>
          </w:tcPr>
          <w:p>
            <w:r>
              <w:rPr>
                <w:b/>
                <w:color w:val="8E44AD"/>
                <w:sz w:val="24"/>
              </w:rPr>
              <w:t>Next step</w:t>
            </w:r>
          </w:p>
          <w:p>
            <w:pPr>
              <w:spacing w:line="324" w:lineRule="auto"/>
            </w:pPr>
            <w:r>
              <w:t>To ask about EMLS, request a demonstration, or discuss organisational readiness, contact EduLinked at founder@edulinked.com.au.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2526E"/>
        <w:sz w:val="17"/>
      </w:rPr>
      <w:t>EduLinked | EduLinked Modular Learning System (EMLS) | Customer information pack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2526E"/>
        <w:sz w:val="18"/>
      </w:rPr>
      <w:t>EduLinked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22830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