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8E44AD"/>
          <w:sz w:val="20"/>
        </w:rPr>
        <w:t>EduLinked Modular Learning System</w:t>
      </w:r>
    </w:p>
    <w:p>
      <w:pPr>
        <w:pStyle w:val="Heading1"/>
        <w:jc w:val="center"/>
      </w:pPr>
      <w:r>
        <w:t>EMLS Licensing and Deployment Options</w:t>
      </w:r>
    </w:p>
    <w:p>
      <w:pPr>
        <w:jc w:val="center"/>
      </w:pPr>
      <w:r>
        <w:rPr>
          <w:color w:val="42526E"/>
          <w:sz w:val="26"/>
        </w:rPr>
        <w:t>Plain-language options for adopting EMLS</w:t>
      </w:r>
    </w:p>
    <w:p>
      <w:pPr>
        <w:jc w:val="center"/>
      </w:pPr>
      <w:r>
        <w:rPr>
          <w:b/>
          <w:color w:val="DEA93F"/>
          <w:sz w:val="21"/>
        </w:rPr>
        <w:t>Access-first learning | modular delivery | partner-ready implementation</w:t>
      </w:r>
    </w:p>
    <w:p>
      <w:pPr>
        <w:spacing w:after="160" w:line="324" w:lineRule="auto"/>
      </w:pPr>
      <w:r>
        <w:rPr>
          <w:b/>
        </w:rPr>
        <w:t>This document explains common ways an organisation may adopt EMLS. Final scope, pricing, support and delivery arrangements are confirmed through discussion with EduLinked.</w:t>
      </w:r>
    </w:p>
    <w:p>
      <w:pPr>
        <w:pStyle w:val="Heading2"/>
        <w:spacing w:before="200" w:after="120"/>
      </w:pPr>
      <w:r>
        <w:t>Deployment options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89"/>
        <w:gridCol w:w="3389"/>
        <w:gridCol w:w="3389"/>
      </w:tblGrid>
      <w:tr>
        <w:tc>
          <w:tcPr>
            <w:tcW w:type="dxa" w:w="3389"/>
            <w:shd w:fill="ECE7FF"/>
          </w:tcPr>
          <w:p>
            <w:pPr>
              <w:spacing w:after="80" w:line="300" w:lineRule="auto"/>
            </w:pPr>
            <w:r/>
            <w:r>
              <w:rPr>
                <w:b/>
                <w:sz w:val="19"/>
              </w:rPr>
              <w:t>Option</w:t>
            </w:r>
          </w:p>
        </w:tc>
        <w:tc>
          <w:tcPr>
            <w:tcW w:type="dxa" w:w="3389"/>
            <w:shd w:fill="ECE7FF"/>
          </w:tcPr>
          <w:p>
            <w:pPr>
              <w:spacing w:after="80" w:line="300" w:lineRule="auto"/>
            </w:pPr>
            <w:r/>
            <w:r>
              <w:rPr>
                <w:b/>
                <w:sz w:val="19"/>
              </w:rPr>
              <w:t>Best for</w:t>
            </w:r>
          </w:p>
        </w:tc>
        <w:tc>
          <w:tcPr>
            <w:tcW w:type="dxa" w:w="3389"/>
            <w:shd w:fill="ECE7FF"/>
          </w:tcPr>
          <w:p>
            <w:pPr>
              <w:spacing w:after="80" w:line="300" w:lineRule="auto"/>
            </w:pPr>
            <w:r/>
            <w:r>
              <w:rPr>
                <w:b/>
                <w:sz w:val="19"/>
              </w:rPr>
              <w:t>Typical focus</w:t>
            </w:r>
          </w:p>
        </w:tc>
      </w:tr>
      <w:tr>
        <w:tc>
          <w:tcPr>
            <w:tcW w:type="dxa" w:w="3389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Discovery conversation</w:t>
            </w:r>
          </w:p>
        </w:tc>
        <w:tc>
          <w:tcPr>
            <w:tcW w:type="dxa" w:w="3389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Organisations exploring fit before committing.</w:t>
            </w:r>
          </w:p>
        </w:tc>
        <w:tc>
          <w:tcPr>
            <w:tcW w:type="dxa" w:w="3389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Goals, audience, setting, access needs and possible modules.</w:t>
            </w:r>
          </w:p>
        </w:tc>
      </w:tr>
      <w:tr>
        <w:tc>
          <w:tcPr>
            <w:tcW w:type="dxa" w:w="3389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Pilot</w:t>
            </w:r>
          </w:p>
        </w:tc>
        <w:tc>
          <w:tcPr>
            <w:tcW w:type="dxa" w:w="3389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Sites wanting to test EMLS with a defined group or module set.</w:t>
            </w:r>
          </w:p>
        </w:tc>
        <w:tc>
          <w:tcPr>
            <w:tcW w:type="dxa" w:w="3389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Small-scale delivery, feedback, access review and reporting.</w:t>
            </w:r>
          </w:p>
        </w:tc>
      </w:tr>
      <w:tr>
        <w:tc>
          <w:tcPr>
            <w:tcW w:type="dxa" w:w="3389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Single-site implementation</w:t>
            </w:r>
          </w:p>
        </w:tc>
        <w:tc>
          <w:tcPr>
            <w:tcW w:type="dxa" w:w="3389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One school, library, service, program or venue.</w:t>
            </w:r>
          </w:p>
        </w:tc>
        <w:tc>
          <w:tcPr>
            <w:tcW w:type="dxa" w:w="3389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Local setup, facilitator support and repeatable delivery.</w:t>
            </w:r>
          </w:p>
        </w:tc>
      </w:tr>
      <w:tr>
        <w:tc>
          <w:tcPr>
            <w:tcW w:type="dxa" w:w="3389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Multi-site or regional implementation</w:t>
            </w:r>
          </w:p>
        </w:tc>
        <w:tc>
          <w:tcPr>
            <w:tcW w:type="dxa" w:w="3389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Councils, networks, institutions or partner groups.</w:t>
            </w:r>
          </w:p>
        </w:tc>
        <w:tc>
          <w:tcPr>
            <w:tcW w:type="dxa" w:w="3389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Shared governance, staged rollout, reporting and coordination.</w:t>
            </w:r>
          </w:p>
        </w:tc>
      </w:tr>
      <w:tr>
        <w:tc>
          <w:tcPr>
            <w:tcW w:type="dxa" w:w="3389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Specialist module deployment</w:t>
            </w:r>
          </w:p>
        </w:tc>
        <w:tc>
          <w:tcPr>
            <w:tcW w:type="dxa" w:w="3389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Organisations needing a targeted learning area.</w:t>
            </w:r>
          </w:p>
        </w:tc>
        <w:tc>
          <w:tcPr>
            <w:tcW w:type="dxa" w:w="3389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Film and television, accessible media, digital inclusion or other agreed modules.</w:t>
            </w:r>
          </w:p>
        </w:tc>
      </w:tr>
    </w:tbl>
    <w:p/>
    <w:p>
      <w:pPr>
        <w:pStyle w:val="Heading2"/>
        <w:spacing w:before="200" w:after="120"/>
      </w:pPr>
      <w:r>
        <w:t>Licensing may include</w:t>
      </w:r>
    </w:p>
    <w:p>
      <w:pPr>
        <w:pStyle w:val="ListBullet"/>
        <w:spacing w:after="100" w:line="312" w:lineRule="auto"/>
      </w:pPr>
      <w:r>
        <w:t>Access to selected EMLS learning resources and module materials.</w:t>
      </w:r>
    </w:p>
    <w:p>
      <w:pPr>
        <w:pStyle w:val="ListBullet"/>
        <w:spacing w:after="100" w:line="312" w:lineRule="auto"/>
      </w:pPr>
      <w:r>
        <w:t>Implementation support and planning sessions.</w:t>
      </w:r>
    </w:p>
    <w:p>
      <w:pPr>
        <w:pStyle w:val="ListBullet"/>
        <w:spacing w:after="100" w:line="312" w:lineRule="auto"/>
      </w:pPr>
      <w:r>
        <w:t>Facilitator orientation or training.</w:t>
      </w:r>
    </w:p>
    <w:p>
      <w:pPr>
        <w:pStyle w:val="ListBullet"/>
        <w:spacing w:after="100" w:line="312" w:lineRule="auto"/>
      </w:pPr>
      <w:r>
        <w:t>Accessible-format support where included in scope.</w:t>
      </w:r>
    </w:p>
    <w:p>
      <w:pPr>
        <w:pStyle w:val="ListBullet"/>
        <w:spacing w:after="100" w:line="312" w:lineRule="auto"/>
      </w:pPr>
      <w:r>
        <w:t>Evaluation, reporting and continuous improvement tools.</w:t>
      </w:r>
    </w:p>
    <w:p>
      <w:pPr>
        <w:pStyle w:val="ListBullet"/>
        <w:spacing w:after="100" w:line="312" w:lineRule="auto"/>
      </w:pPr>
      <w:r>
        <w:t>Updates to agreed resources during the licence period.</w:t>
      </w:r>
    </w:p>
    <w:p>
      <w:pPr>
        <w:pStyle w:val="Heading2"/>
        <w:spacing w:before="200" w:after="120"/>
      </w:pPr>
      <w:r>
        <w:t>Support levels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shd w:fill="ECE7FF"/>
          </w:tcPr>
          <w:p>
            <w:pPr>
              <w:spacing w:after="80" w:line="300" w:lineRule="auto"/>
            </w:pPr>
            <w:r/>
            <w:r>
              <w:rPr>
                <w:b/>
                <w:sz w:val="19"/>
              </w:rPr>
              <w:t>Support level</w:t>
            </w:r>
          </w:p>
        </w:tc>
        <w:tc>
          <w:tcPr>
            <w:tcW w:type="dxa" w:w="5083"/>
            <w:shd w:fill="ECE7FF"/>
          </w:tcPr>
          <w:p>
            <w:pPr>
              <w:spacing w:after="80" w:line="300" w:lineRule="auto"/>
            </w:pPr>
            <w:r/>
            <w:r>
              <w:rPr>
                <w:b/>
                <w:sz w:val="19"/>
              </w:rPr>
              <w:t>Description</w:t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Information-only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EduLinked provides information and responds to questions.</w:t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Pilot support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EduLinked supports setup, delivery preparation and pilot review.</w:t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Facilitated support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EduLinked provides more active delivery or facilitator support where available.</w:t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Partner implementation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EduLinked works with an organisation to embed EMLS into a broader program or service.</w:t>
            </w:r>
          </w:p>
        </w:tc>
      </w:tr>
    </w:tbl>
    <w:p/>
    <w:p>
      <w:pPr>
        <w:pStyle w:val="Heading2"/>
        <w:spacing w:before="200" w:after="120"/>
      </w:pPr>
      <w:r>
        <w:t>What affects the final arrangement</w:t>
      </w:r>
    </w:p>
    <w:p>
      <w:pPr>
        <w:pStyle w:val="ListBullet"/>
        <w:spacing w:after="100" w:line="312" w:lineRule="auto"/>
      </w:pPr>
      <w:r>
        <w:t>Number of learners, facilitators and sites.</w:t>
      </w:r>
    </w:p>
    <w:p>
      <w:pPr>
        <w:pStyle w:val="ListBullet"/>
        <w:spacing w:after="100" w:line="312" w:lineRule="auto"/>
      </w:pPr>
      <w:r>
        <w:t>Accessibility and communication requirements.</w:t>
      </w:r>
    </w:p>
    <w:p>
      <w:pPr>
        <w:pStyle w:val="ListBullet"/>
        <w:spacing w:after="100" w:line="312" w:lineRule="auto"/>
      </w:pPr>
      <w:r>
        <w:t>Number and type of modules selected.</w:t>
      </w:r>
    </w:p>
    <w:p>
      <w:pPr>
        <w:pStyle w:val="ListBullet"/>
        <w:spacing w:after="100" w:line="312" w:lineRule="auto"/>
      </w:pPr>
      <w:r>
        <w:t>Delivery format and timeframe.</w:t>
      </w:r>
    </w:p>
    <w:p>
      <w:pPr>
        <w:pStyle w:val="ListBullet"/>
        <w:spacing w:after="100" w:line="312" w:lineRule="auto"/>
      </w:pPr>
      <w:r>
        <w:t>Reporting, evaluation and governance requirements.</w:t>
      </w:r>
    </w:p>
    <w:p>
      <w:pPr>
        <w:pStyle w:val="ListBullet"/>
        <w:spacing w:after="100" w:line="312" w:lineRule="auto"/>
      </w:pPr>
      <w:r>
        <w:t>Whether customisation or new resource development is needed.</w:t>
      </w:r>
    </w:p>
    <w:p>
      <w:pPr>
        <w:pStyle w:val="Heading2"/>
        <w:spacing w:before="200" w:after="120"/>
      </w:pPr>
      <w:r>
        <w:t>Good fit indicators</w:t>
      </w:r>
    </w:p>
    <w:p>
      <w:pPr>
        <w:pStyle w:val="ListBullet"/>
        <w:spacing w:after="100" w:line="312" w:lineRule="auto"/>
      </w:pPr>
      <w:r>
        <w:t>The organisation has a clear learner group or community purpose.</w:t>
      </w:r>
    </w:p>
    <w:p>
      <w:pPr>
        <w:pStyle w:val="ListBullet"/>
        <w:spacing w:after="100" w:line="312" w:lineRule="auto"/>
      </w:pPr>
      <w:r>
        <w:t>A staff member or team can coordinate implementation.</w:t>
      </w:r>
    </w:p>
    <w:p>
      <w:pPr>
        <w:pStyle w:val="ListBullet"/>
        <w:spacing w:after="100" w:line="312" w:lineRule="auto"/>
      </w:pPr>
      <w:r>
        <w:t>Accessibility and safeguarding requirements can be discussed early.</w:t>
      </w:r>
    </w:p>
    <w:p>
      <w:pPr>
        <w:pStyle w:val="ListBullet"/>
        <w:spacing w:after="100" w:line="312" w:lineRule="auto"/>
      </w:pPr>
      <w:r>
        <w:t>The organisation is open to feedback, evaluation and staged improvement.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166"/>
      </w:tblGrid>
      <w:tr>
        <w:tc>
          <w:tcPr>
            <w:tcW w:type="dxa" w:w="10166"/>
            <w:shd w:fill="F7F5FF"/>
            <w:vAlign w:val="center"/>
          </w:tcPr>
          <w:p>
            <w:r>
              <w:rPr>
                <w:b/>
                <w:color w:val="8E44AD"/>
                <w:sz w:val="24"/>
              </w:rPr>
              <w:t>Next step</w:t>
            </w:r>
          </w:p>
          <w:p>
            <w:pPr>
              <w:spacing w:line="324" w:lineRule="auto"/>
            </w:pPr>
            <w:r>
              <w:t>To ask about EMLS, request a demonstration, or discuss organisational readiness, contact EduLinked at founder@edulinked.com.au.</w:t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936" w:right="1037" w:bottom="936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42526E"/>
        <w:sz w:val="17"/>
      </w:rPr>
      <w:t>EduLinked | EduLinked Modular Learning System (EMLS) | Customer information pack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42526E"/>
        <w:sz w:val="18"/>
      </w:rPr>
      <w:t>EduLinked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222830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