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E44AD"/>
          <w:sz w:val="20"/>
        </w:rPr>
        <w:t>EduLinked Modular Learning System</w:t>
      </w:r>
    </w:p>
    <w:p>
      <w:pPr>
        <w:pStyle w:val="Heading1"/>
        <w:jc w:val="center"/>
      </w:pPr>
      <w:r>
        <w:t>EMLS Institutional Readiness Checklist</w:t>
      </w:r>
    </w:p>
    <w:p>
      <w:pPr>
        <w:jc w:val="center"/>
      </w:pPr>
      <w:r>
        <w:rPr>
          <w:color w:val="42526E"/>
          <w:sz w:val="26"/>
        </w:rPr>
        <w:t>A self-check for schools, councils, libraries, services and partner organisations</w:t>
      </w:r>
    </w:p>
    <w:p>
      <w:pPr>
        <w:jc w:val="center"/>
      </w:pPr>
      <w:r>
        <w:rPr>
          <w:b/>
          <w:color w:val="DEA93F"/>
          <w:sz w:val="21"/>
        </w:rPr>
        <w:t>Access-first learning | modular delivery | partner-ready implementation</w:t>
      </w:r>
    </w:p>
    <w:p>
      <w:pPr>
        <w:spacing w:after="160" w:line="324" w:lineRule="auto"/>
      </w:pPr>
      <w:r>
        <w:rPr>
          <w:b/>
        </w:rPr>
        <w:t>Use this checklist to decide whether your organisation is ready to discuss an EMLS pilot or implementation. You do not need every item complete before contacting EduLinked.</w:t>
      </w:r>
    </w:p>
    <w:p>
      <w:pPr>
        <w:pStyle w:val="Heading2"/>
        <w:spacing w:before="200" w:after="120"/>
      </w:pPr>
      <w:r>
        <w:t>1. Purpose and audience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Readiness question</w:t>
            </w:r>
          </w:p>
        </w:tc>
        <w:tc>
          <w:tcPr>
            <w:tcW w:type="dxa" w:w="5083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Yes / No / Not sure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know who the learning program is for.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can describe the main problem or opportunity EMLS should support.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know whether the focus is education, digital inclusion, accessibility, community learning or another outcome.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can identify a small starting group if a pilot is preferred.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</w:tbl>
    <w:p/>
    <w:p>
      <w:pPr>
        <w:pStyle w:val="Heading2"/>
        <w:spacing w:before="200" w:after="120"/>
      </w:pPr>
      <w:r>
        <w:t>2. Access and inclusion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Readiness question</w:t>
            </w:r>
          </w:p>
        </w:tc>
        <w:tc>
          <w:tcPr>
            <w:tcW w:type="dxa" w:w="5083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Yes / No / Not sure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can discuss likely accessibility and communication needs.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can support plain-language information for learners and families where needed.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can consider Easy Read, captions, transcripts or alternative formats where relevant.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can avoid one-size-fits-all participation requirements.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</w:tbl>
    <w:p/>
    <w:p>
      <w:pPr>
        <w:pStyle w:val="Heading2"/>
        <w:spacing w:before="200" w:after="120"/>
      </w:pPr>
      <w:r>
        <w:t>3. People and delivery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Readiness question</w:t>
            </w:r>
          </w:p>
        </w:tc>
        <w:tc>
          <w:tcPr>
            <w:tcW w:type="dxa" w:w="5083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Yes / No / Not sure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have a staff member or team who can coordinate the conversation.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know whether delivery will be facilitated by EduLinked, our staff, or a shared approach.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can identify available venues, online tools or learning spaces.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can support participant communication, consent and safeguarding requirements.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</w:tbl>
    <w:p/>
    <w:p>
      <w:pPr>
        <w:pStyle w:val="Heading2"/>
        <w:spacing w:before="200" w:after="120"/>
      </w:pPr>
      <w:r>
        <w:t>4. Decision-making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Readiness question</w:t>
            </w:r>
          </w:p>
        </w:tc>
        <w:tc>
          <w:tcPr>
            <w:tcW w:type="dxa" w:w="5083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Yes / No / Not sure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know who needs to approve a pilot or implementation.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have a rough budget context or procurement pathway.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understand that final scope and cost depend on confirmed requirements.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can schedule a discovery conversation with the right people present.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</w:tbl>
    <w:p/>
    <w:p>
      <w:pPr>
        <w:pStyle w:val="Heading2"/>
        <w:spacing w:before="200" w:after="120"/>
      </w:pPr>
      <w:r>
        <w:t>5. Evaluation and improvement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Readiness question</w:t>
            </w:r>
          </w:p>
        </w:tc>
        <w:tc>
          <w:tcPr>
            <w:tcW w:type="dxa" w:w="5083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Yes / No / Not sure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are willing to collect feedback from learners or facilitators.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can support baseline and follow-up survey processes if needed.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are open to improving delivery based on access and learner feedback.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We understand that EMLS may be implemented in stages.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</w:r>
          </w:p>
        </w:tc>
      </w:tr>
    </w:tbl>
    <w:p/>
    <w:p>
      <w:pPr>
        <w:pStyle w:val="Heading2"/>
        <w:spacing w:before="200" w:after="120"/>
      </w:pPr>
      <w:r>
        <w:t>Result</w:t>
      </w:r>
    </w:p>
    <w:p>
      <w:pPr>
        <w:spacing w:after="160" w:line="324" w:lineRule="auto"/>
      </w:pPr>
      <w:r>
        <w:rPr>
          <w:b w:val="0"/>
        </w:rPr>
        <w:t>Mostly yes: your organisation may be ready for a pilot or implementation conversation. Mixed yes/not sure: a discovery conversation may help clarify the pathway. Mostly no: start with an information conversation and a smaller planning scope.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10166"/>
            <w:shd w:fill="F7F5FF"/>
            <w:vAlign w:val="center"/>
          </w:tcPr>
          <w:p>
            <w:r>
              <w:rPr>
                <w:b/>
                <w:color w:val="8E44AD"/>
                <w:sz w:val="24"/>
              </w:rPr>
              <w:t>Next step</w:t>
            </w:r>
          </w:p>
          <w:p>
            <w:pPr>
              <w:spacing w:line="324" w:lineRule="auto"/>
            </w:pPr>
            <w:r>
              <w:t>To ask about EMLS, request a demonstration, or discuss organisational readiness, contact EduLinked at founder@edulinked.com.au.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2526E"/>
        <w:sz w:val="17"/>
      </w:rPr>
      <w:t>EduLinked | EduLinked Modular Learning System (EMLS) | Customer information pack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42526E"/>
        <w:sz w:val="18"/>
      </w:rPr>
      <w:t>EduLinked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22830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