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autofit"/>
        <w:tblLook w:firstColumn="1" w:firstRow="1" w:lastColumn="0" w:lastRow="0" w:noHBand="0" w:noVBand="1" w:val="04A0"/>
      </w:tblPr>
      <w:tblGrid>
        <w:gridCol w:w="5112"/>
        <w:gridCol w:w="5112"/>
      </w:tblGrid>
      <w:tr>
        <w:tc>
          <w:tcPr>
            <w:tcW w:type="dxa" w:w="8208"/>
            <w:shd w:fill="F7F5FF"/>
          </w:tcPr>
          <w:p>
            <w:r>
              <w:rPr>
                <w:b/>
                <w:color w:val="222830"/>
                <w:sz w:val="48"/>
              </w:rPr>
              <w:t>EMLS Evidence Collection Guide</w:t>
            </w:r>
          </w:p>
          <w:p>
            <w:r>
              <w:rPr>
                <w:color w:val="42526E"/>
                <w:sz w:val="24"/>
              </w:rPr>
              <w:t>Customer-facing guide for safe, appropriate collection of learning evidence and artefacts</w:t>
            </w:r>
          </w:p>
        </w:tc>
        <w:tc>
          <w:tcPr>
            <w:tcW w:type="dxa" w:w="5112"/>
            <w:shd w:fill="222830"/>
          </w:tcPr>
          <w:p>
            <w:pPr>
              <w:jc w:val="center"/>
            </w:pPr>
            <w:r>
              <w:rPr>
                <w:b/>
                <w:color w:val="FFFFFF"/>
                <w:sz w:val="40"/>
              </w:rPr>
              <w:t>EMLS</w:t>
            </w:r>
          </w:p>
          <w:p>
            <w:pPr>
              <w:jc w:val="center"/>
            </w:pPr>
            <w:r>
              <w:rPr>
                <w:color w:val="FFFFFF"/>
                <w:sz w:val="20"/>
              </w:rPr>
              <w:t>Evaluation and Reporting</w:t>
            </w:r>
          </w:p>
        </w:tc>
      </w:tr>
    </w:tbl>
    <w:p/>
    <w:tbl>
      <w:tblPr>
        <w:tblW w:type="auto" w:w="0"/>
        <w:jc w:val="center"/>
        <w:tblLook w:firstColumn="1" w:firstRow="1" w:lastColumn="0" w:lastRow="0" w:noHBand="0" w:noVBand="1" w:val="04A0"/>
      </w:tblPr>
      <w:tblGrid>
        <w:gridCol w:w="10224"/>
      </w:tblGrid>
      <w:tr>
        <w:tc>
          <w:tcPr>
            <w:tcW w:type="dxa" w:w="10224"/>
            <w:shd w:fill="F7F5FF"/>
          </w:tcPr>
          <w:p>
            <w:r>
              <w:rPr>
                <w:b/>
                <w:color w:val="222830"/>
                <w:sz w:val="24"/>
              </w:rPr>
              <w:t>Purpose</w:t>
            </w:r>
          </w:p>
          <w:p>
            <w:pPr>
              <w:spacing w:after="60"/>
            </w:pPr>
            <w:r>
              <w:t>This guide explains how EMLS partners and facilitators can collect evidence of learning in ways that are useful, safe and proportionate. It supports completion records, reporting, quality improvement and grant evidence while protecting learner privacy.</w:t>
            </w:r>
          </w:p>
        </w:tc>
      </w:tr>
    </w:tbl>
    <w:p/>
    <w:p>
      <w:pPr>
        <w:pStyle w:val="Heading1"/>
      </w:pPr>
      <w:r>
        <w:t>1. What counts as evidence?</w:t>
      </w:r>
    </w:p>
    <w:tbl>
      <w:tblPr>
        <w:tblStyle w:val="TableGrid"/>
        <w:tblW w:type="auto" w:w="0"/>
        <w:jc w:val="center"/>
        <w:tblLook w:firstColumn="1" w:firstRow="1" w:lastColumn="0" w:lastRow="0" w:noHBand="0" w:noVBand="1" w:val="04A0"/>
      </w:tblPr>
      <w:tblGrid>
        <w:gridCol w:w="3408"/>
        <w:gridCol w:w="3408"/>
        <w:gridCol w:w="3408"/>
      </w:tblGrid>
      <w:tr>
        <w:tc>
          <w:tcPr>
            <w:tcW w:type="dxa" w:w="3408"/>
            <w:shd w:fill="222830"/>
          </w:tcPr>
          <w:p>
            <w:pPr>
              <w:spacing w:after="40"/>
            </w:pPr>
            <w:r/>
            <w:r>
              <w:rPr>
                <w:b/>
                <w:color w:val="FFFFFF"/>
                <w:sz w:val="20"/>
              </w:rPr>
              <w:t>Evidence type</w:t>
            </w:r>
          </w:p>
        </w:tc>
        <w:tc>
          <w:tcPr>
            <w:tcW w:type="dxa" w:w="3408"/>
            <w:shd w:fill="222830"/>
          </w:tcPr>
          <w:p>
            <w:pPr>
              <w:spacing w:after="40"/>
            </w:pPr>
            <w:r/>
            <w:r>
              <w:rPr>
                <w:b/>
                <w:color w:val="FFFFFF"/>
                <w:sz w:val="20"/>
              </w:rPr>
              <w:t>Examples</w:t>
            </w:r>
          </w:p>
        </w:tc>
        <w:tc>
          <w:tcPr>
            <w:tcW w:type="dxa" w:w="3408"/>
            <w:shd w:fill="222830"/>
          </w:tcPr>
          <w:p>
            <w:pPr>
              <w:spacing w:after="40"/>
            </w:pPr>
            <w:r/>
            <w:r>
              <w:rPr>
                <w:b/>
                <w:color w:val="FFFFFF"/>
                <w:sz w:val="20"/>
              </w:rPr>
              <w:t>Use</w:t>
            </w:r>
          </w:p>
        </w:tc>
      </w:tr>
      <w:tr>
        <w:tc>
          <w:tcPr>
            <w:tcW w:type="dxa" w:w="3408"/>
            <w:vAlign w:val="top"/>
          </w:tcPr>
          <w:p>
            <w:pPr>
              <w:spacing w:after="40"/>
            </w:pPr>
            <w:r/>
            <w:r>
              <w:rPr>
                <w:b w:val="0"/>
                <w:sz w:val="20"/>
              </w:rPr>
              <w:t>Participation evidence</w:t>
            </w:r>
          </w:p>
        </w:tc>
        <w:tc>
          <w:tcPr>
            <w:tcW w:type="dxa" w:w="3408"/>
            <w:vAlign w:val="top"/>
          </w:tcPr>
          <w:p>
            <w:pPr>
              <w:spacing w:after="40"/>
            </w:pPr>
            <w:r/>
            <w:r>
              <w:rPr>
                <w:b w:val="0"/>
                <w:sz w:val="20"/>
              </w:rPr>
              <w:t>Attendance, module access, group participation, supported completion.</w:t>
            </w:r>
          </w:p>
        </w:tc>
        <w:tc>
          <w:tcPr>
            <w:tcW w:type="dxa" w:w="3408"/>
            <w:vAlign w:val="top"/>
          </w:tcPr>
          <w:p>
            <w:pPr>
              <w:spacing w:after="40"/>
            </w:pPr>
            <w:r/>
            <w:r>
              <w:rPr>
                <w:b w:val="0"/>
                <w:sz w:val="20"/>
              </w:rPr>
              <w:t>Shows reach and engagement.</w:t>
            </w:r>
          </w:p>
        </w:tc>
      </w:tr>
      <w:tr>
        <w:tc>
          <w:tcPr>
            <w:tcW w:type="dxa" w:w="3408"/>
            <w:vAlign w:val="top"/>
          </w:tcPr>
          <w:p>
            <w:pPr>
              <w:spacing w:after="40"/>
            </w:pPr>
            <w:r/>
            <w:r>
              <w:rPr>
                <w:b w:val="0"/>
                <w:sz w:val="20"/>
              </w:rPr>
              <w:t>Learning artefacts</w:t>
            </w:r>
          </w:p>
        </w:tc>
        <w:tc>
          <w:tcPr>
            <w:tcW w:type="dxa" w:w="3408"/>
            <w:vAlign w:val="top"/>
          </w:tcPr>
          <w:p>
            <w:pPr>
              <w:spacing w:after="40"/>
            </w:pPr>
            <w:r/>
            <w:r>
              <w:rPr>
                <w:b w:val="0"/>
                <w:sz w:val="20"/>
              </w:rPr>
              <w:t>Worksheets, drafts, storyboards, checklists, plans, reflections, project outputs.</w:t>
            </w:r>
          </w:p>
        </w:tc>
        <w:tc>
          <w:tcPr>
            <w:tcW w:type="dxa" w:w="3408"/>
            <w:vAlign w:val="top"/>
          </w:tcPr>
          <w:p>
            <w:pPr>
              <w:spacing w:after="40"/>
            </w:pPr>
            <w:r/>
            <w:r>
              <w:rPr>
                <w:b w:val="0"/>
                <w:sz w:val="20"/>
              </w:rPr>
              <w:t>Shows learning activity and progress.</w:t>
            </w:r>
          </w:p>
        </w:tc>
      </w:tr>
      <w:tr>
        <w:tc>
          <w:tcPr>
            <w:tcW w:type="dxa" w:w="3408"/>
            <w:vAlign w:val="top"/>
          </w:tcPr>
          <w:p>
            <w:pPr>
              <w:spacing w:after="40"/>
            </w:pPr>
            <w:r/>
            <w:r>
              <w:rPr>
                <w:b w:val="0"/>
                <w:sz w:val="20"/>
              </w:rPr>
              <w:t>Confidence evidence</w:t>
            </w:r>
          </w:p>
        </w:tc>
        <w:tc>
          <w:tcPr>
            <w:tcW w:type="dxa" w:w="3408"/>
            <w:vAlign w:val="top"/>
          </w:tcPr>
          <w:p>
            <w:pPr>
              <w:spacing w:after="40"/>
            </w:pPr>
            <w:r/>
            <w:r>
              <w:rPr>
                <w:b w:val="0"/>
                <w:sz w:val="20"/>
              </w:rPr>
              <w:t>Baseline and follow-up survey responses; short reflections.</w:t>
            </w:r>
          </w:p>
        </w:tc>
        <w:tc>
          <w:tcPr>
            <w:tcW w:type="dxa" w:w="3408"/>
            <w:vAlign w:val="top"/>
          </w:tcPr>
          <w:p>
            <w:pPr>
              <w:spacing w:after="40"/>
            </w:pPr>
            <w:r/>
            <w:r>
              <w:rPr>
                <w:b w:val="0"/>
                <w:sz w:val="20"/>
              </w:rPr>
              <w:t>Shows self-reported change.</w:t>
            </w:r>
          </w:p>
        </w:tc>
      </w:tr>
      <w:tr>
        <w:tc>
          <w:tcPr>
            <w:tcW w:type="dxa" w:w="3408"/>
            <w:vAlign w:val="top"/>
          </w:tcPr>
          <w:p>
            <w:pPr>
              <w:spacing w:after="40"/>
            </w:pPr>
            <w:r/>
            <w:r>
              <w:rPr>
                <w:b w:val="0"/>
                <w:sz w:val="20"/>
              </w:rPr>
              <w:t>Facilitator verification</w:t>
            </w:r>
          </w:p>
        </w:tc>
        <w:tc>
          <w:tcPr>
            <w:tcW w:type="dxa" w:w="3408"/>
            <w:vAlign w:val="top"/>
          </w:tcPr>
          <w:p>
            <w:pPr>
              <w:spacing w:after="40"/>
            </w:pPr>
            <w:r/>
            <w:r>
              <w:rPr>
                <w:b w:val="0"/>
                <w:sz w:val="20"/>
              </w:rPr>
              <w:t>Facilitator checklist, observation notes, completion confirmation.</w:t>
            </w:r>
          </w:p>
        </w:tc>
        <w:tc>
          <w:tcPr>
            <w:tcW w:type="dxa" w:w="3408"/>
            <w:vAlign w:val="top"/>
          </w:tcPr>
          <w:p>
            <w:pPr>
              <w:spacing w:after="40"/>
            </w:pPr>
            <w:r/>
            <w:r>
              <w:rPr>
                <w:b w:val="0"/>
                <w:sz w:val="20"/>
              </w:rPr>
              <w:t>Supports completion records and reporting.</w:t>
            </w:r>
          </w:p>
        </w:tc>
      </w:tr>
      <w:tr>
        <w:tc>
          <w:tcPr>
            <w:tcW w:type="dxa" w:w="3408"/>
            <w:vAlign w:val="top"/>
          </w:tcPr>
          <w:p>
            <w:pPr>
              <w:spacing w:after="40"/>
            </w:pPr>
            <w:r/>
            <w:r>
              <w:rPr>
                <w:b w:val="0"/>
                <w:sz w:val="20"/>
              </w:rPr>
              <w:t>Partner evidence</w:t>
            </w:r>
          </w:p>
        </w:tc>
        <w:tc>
          <w:tcPr>
            <w:tcW w:type="dxa" w:w="3408"/>
            <w:vAlign w:val="top"/>
          </w:tcPr>
          <w:p>
            <w:pPr>
              <w:spacing w:after="40"/>
            </w:pPr>
            <w:r/>
            <w:r>
              <w:rPr>
                <w:b w:val="0"/>
                <w:sz w:val="20"/>
              </w:rPr>
              <w:t>Partner satisfaction survey, review meeting summary, implementation notes.</w:t>
            </w:r>
          </w:p>
        </w:tc>
        <w:tc>
          <w:tcPr>
            <w:tcW w:type="dxa" w:w="3408"/>
            <w:vAlign w:val="top"/>
          </w:tcPr>
          <w:p>
            <w:pPr>
              <w:spacing w:after="40"/>
            </w:pPr>
            <w:r/>
            <w:r>
              <w:rPr>
                <w:b w:val="0"/>
                <w:sz w:val="20"/>
              </w:rPr>
              <w:t>Supports institutional reporting and improvement.</w:t>
            </w:r>
          </w:p>
        </w:tc>
      </w:tr>
    </w:tbl>
    <w:p/>
    <w:p>
      <w:pPr>
        <w:pStyle w:val="Heading1"/>
      </w:pPr>
      <w:r>
        <w:t>2. Evidence collection principles</w:t>
      </w:r>
    </w:p>
    <w:p>
      <w:pPr>
        <w:pStyle w:val="ListBullet"/>
      </w:pPr>
      <w:r>
        <w:t>Collect only what is needed for learning, support, reporting or improvement.</w:t>
      </w:r>
    </w:p>
    <w:p>
      <w:pPr>
        <w:pStyle w:val="ListBullet"/>
      </w:pPr>
      <w:r>
        <w:t>Explain why evidence is being collected and how it may be used.</w:t>
      </w:r>
    </w:p>
    <w:p>
      <w:pPr>
        <w:pStyle w:val="ListBullet"/>
      </w:pPr>
      <w:r>
        <w:t>Use de-identified or aggregated evidence wherever possible.</w:t>
      </w:r>
    </w:p>
    <w:p>
      <w:pPr>
        <w:pStyle w:val="ListBullet"/>
      </w:pPr>
      <w:r>
        <w:t>Do not collect highly sensitive personal information unless it is necessary and consented.</w:t>
      </w:r>
    </w:p>
    <w:p>
      <w:pPr>
        <w:pStyle w:val="ListBullet"/>
      </w:pPr>
      <w:r>
        <w:t>Separate learning completion evidence from public showcase, promotion or online sharing consent.</w:t>
      </w:r>
    </w:p>
    <w:p>
      <w:pPr>
        <w:pStyle w:val="ListBullet"/>
      </w:pPr>
      <w:r>
        <w:t>Allow alternative evidence formats, including spoken reflection, visual work, assisted completion or low-text responses.</w:t>
      </w:r>
    </w:p>
    <w:p>
      <w:pPr>
        <w:pStyle w:val="Heading1"/>
      </w:pPr>
      <w:r>
        <w:t>3. Evidence that should be avoided unless specifically required</w:t>
      </w:r>
    </w:p>
    <w:p>
      <w:pPr>
        <w:pStyle w:val="ListBullet"/>
      </w:pPr>
      <w:r>
        <w:t>Medical records, diagnosis reports or therapy notes.</w:t>
      </w:r>
    </w:p>
    <w:p>
      <w:pPr>
        <w:pStyle w:val="ListBullet"/>
      </w:pPr>
      <w:r>
        <w:t>NDIS plan documents or full funding details.</w:t>
      </w:r>
    </w:p>
    <w:p>
      <w:pPr>
        <w:pStyle w:val="ListBullet"/>
      </w:pPr>
      <w:r>
        <w:t>Identity documents, full addresses or passwords.</w:t>
      </w:r>
    </w:p>
    <w:p>
      <w:pPr>
        <w:pStyle w:val="ListBullet"/>
      </w:pPr>
      <w:r>
        <w:t>Unconsented photos, videos or recordings of learners.</w:t>
      </w:r>
    </w:p>
    <w:p>
      <w:pPr>
        <w:pStyle w:val="ListBullet"/>
      </w:pPr>
      <w:r>
        <w:t>Private case notes from schools, services or support workers.</w:t>
      </w:r>
    </w:p>
    <w:p>
      <w:pPr>
        <w:pStyle w:val="ListBullet"/>
      </w:pPr>
      <w:r>
        <w:t>Sensitive family, legal, health or safeguarding information not needed for the learning activity.</w:t>
      </w:r>
    </w:p>
    <w:p>
      <w:pPr>
        <w:pStyle w:val="Heading1"/>
      </w:pPr>
      <w:r>
        <w:t>4. Suggested evidence workflow</w:t>
      </w:r>
    </w:p>
    <w:p>
      <w:pPr>
        <w:pStyle w:val="ListNumber"/>
      </w:pPr>
      <w:r>
        <w:t>Before delivery: confirm what evidence is needed and what consent is required.</w:t>
      </w:r>
    </w:p>
    <w:p>
      <w:pPr>
        <w:pStyle w:val="ListNumber"/>
      </w:pPr>
      <w:r>
        <w:t>During delivery: collect simple participation and completion evidence.</w:t>
      </w:r>
    </w:p>
    <w:p>
      <w:pPr>
        <w:pStyle w:val="ListNumber"/>
      </w:pPr>
      <w:r>
        <w:t>At completion: confirm learning artefacts, reflection or facilitator verification.</w:t>
      </w:r>
    </w:p>
    <w:p>
      <w:pPr>
        <w:pStyle w:val="ListNumber"/>
      </w:pPr>
      <w:r>
        <w:t>Before reporting: de-identify learner information where possible.</w:t>
      </w:r>
    </w:p>
    <w:p>
      <w:pPr>
        <w:pStyle w:val="ListNumber"/>
      </w:pPr>
      <w:r>
        <w:t>Before sharing publicly: obtain specific consent for any public use of names, images, quotes, videos or learner work.</w:t>
      </w:r>
    </w:p>
    <w:p>
      <w:pPr>
        <w:pStyle w:val="ListNumber"/>
      </w:pPr>
      <w:r>
        <w:t>After reporting: store, archive or delete evidence according to the partner agreement and privacy requirements.</w:t>
      </w:r>
    </w:p>
    <w:p>
      <w:pPr>
        <w:pStyle w:val="Heading1"/>
      </w:pPr>
      <w:r>
        <w:t>5. Evidence collection checklist</w:t>
      </w:r>
    </w:p>
    <w:tbl>
      <w:tblPr>
        <w:tblStyle w:val="TableGrid"/>
        <w:tblW w:type="auto" w:w="0"/>
        <w:jc w:val="center"/>
        <w:tblLook w:firstColumn="1" w:firstRow="1" w:lastColumn="0" w:lastRow="0" w:noHBand="0" w:noVBand="1" w:val="04A0"/>
      </w:tblPr>
      <w:tblGrid>
        <w:gridCol w:w="5112"/>
        <w:gridCol w:w="5112"/>
      </w:tblGrid>
      <w:tr>
        <w:tc>
          <w:tcPr>
            <w:tcW w:type="dxa" w:w="5112"/>
            <w:shd w:fill="222830"/>
          </w:tcPr>
          <w:p>
            <w:pPr>
              <w:spacing w:after="40"/>
            </w:pPr>
            <w:r/>
            <w:r>
              <w:rPr>
                <w:b/>
                <w:color w:val="FFFFFF"/>
                <w:sz w:val="20"/>
              </w:rPr>
              <w:t>Check</w:t>
            </w:r>
          </w:p>
        </w:tc>
        <w:tc>
          <w:tcPr>
            <w:tcW w:type="dxa" w:w="5112"/>
            <w:shd w:fill="222830"/>
          </w:tcPr>
          <w:p>
            <w:pPr>
              <w:spacing w:after="40"/>
            </w:pPr>
            <w:r/>
            <w:r>
              <w:rPr>
                <w:b/>
                <w:color w:val="FFFFFF"/>
                <w:sz w:val="20"/>
              </w:rPr>
              <w:t>Yes / No / Notes</w:t>
            </w:r>
          </w:p>
        </w:tc>
      </w:tr>
      <w:tr>
        <w:tc>
          <w:tcPr>
            <w:tcW w:type="dxa" w:w="5112"/>
            <w:vAlign w:val="top"/>
          </w:tcPr>
          <w:p>
            <w:pPr>
              <w:spacing w:after="40"/>
            </w:pPr>
            <w:r/>
            <w:r>
              <w:rPr>
                <w:b w:val="0"/>
                <w:sz w:val="20"/>
              </w:rPr>
              <w:t>Learners know what evidence is being collected</w:t>
            </w:r>
          </w:p>
        </w:tc>
        <w:tc>
          <w:tcPr>
            <w:tcW w:type="dxa" w:w="5112"/>
            <w:vAlign w:val="top"/>
          </w:tcPr>
          <w:p>
            <w:pPr>
              <w:spacing w:after="40"/>
            </w:pPr>
            <w:r/>
            <w:r>
              <w:rPr>
                <w:b w:val="0"/>
                <w:sz w:val="20"/>
              </w:rPr>
            </w:r>
          </w:p>
        </w:tc>
      </w:tr>
      <w:tr>
        <w:tc>
          <w:tcPr>
            <w:tcW w:type="dxa" w:w="5112"/>
            <w:vAlign w:val="top"/>
          </w:tcPr>
          <w:p>
            <w:pPr>
              <w:spacing w:after="40"/>
            </w:pPr>
            <w:r/>
            <w:r>
              <w:rPr>
                <w:b w:val="0"/>
                <w:sz w:val="20"/>
              </w:rPr>
              <w:t>Evidence collected is proportionate to the activity</w:t>
            </w:r>
          </w:p>
        </w:tc>
        <w:tc>
          <w:tcPr>
            <w:tcW w:type="dxa" w:w="5112"/>
            <w:vAlign w:val="top"/>
          </w:tcPr>
          <w:p>
            <w:pPr>
              <w:spacing w:after="40"/>
            </w:pPr>
            <w:r/>
            <w:r>
              <w:rPr>
                <w:b w:val="0"/>
                <w:sz w:val="20"/>
              </w:rPr>
            </w:r>
          </w:p>
        </w:tc>
      </w:tr>
      <w:tr>
        <w:tc>
          <w:tcPr>
            <w:tcW w:type="dxa" w:w="5112"/>
            <w:vAlign w:val="top"/>
          </w:tcPr>
          <w:p>
            <w:pPr>
              <w:spacing w:after="40"/>
            </w:pPr>
            <w:r/>
            <w:r>
              <w:rPr>
                <w:b w:val="0"/>
                <w:sz w:val="20"/>
              </w:rPr>
              <w:t>Access needs are considered in evidence collection</w:t>
            </w:r>
          </w:p>
        </w:tc>
        <w:tc>
          <w:tcPr>
            <w:tcW w:type="dxa" w:w="5112"/>
            <w:vAlign w:val="top"/>
          </w:tcPr>
          <w:p>
            <w:pPr>
              <w:spacing w:after="40"/>
            </w:pPr>
            <w:r/>
            <w:r>
              <w:rPr>
                <w:b w:val="0"/>
                <w:sz w:val="20"/>
              </w:rPr>
            </w:r>
          </w:p>
        </w:tc>
      </w:tr>
      <w:tr>
        <w:tc>
          <w:tcPr>
            <w:tcW w:type="dxa" w:w="5112"/>
            <w:vAlign w:val="top"/>
          </w:tcPr>
          <w:p>
            <w:pPr>
              <w:spacing w:after="40"/>
            </w:pPr>
            <w:r/>
            <w:r>
              <w:rPr>
                <w:b w:val="0"/>
                <w:sz w:val="20"/>
              </w:rPr>
              <w:t>Alternative formats are available</w:t>
            </w:r>
          </w:p>
        </w:tc>
        <w:tc>
          <w:tcPr>
            <w:tcW w:type="dxa" w:w="5112"/>
            <w:vAlign w:val="top"/>
          </w:tcPr>
          <w:p>
            <w:pPr>
              <w:spacing w:after="40"/>
            </w:pPr>
            <w:r/>
            <w:r>
              <w:rPr>
                <w:b w:val="0"/>
                <w:sz w:val="20"/>
              </w:rPr>
            </w:r>
          </w:p>
        </w:tc>
      </w:tr>
      <w:tr>
        <w:tc>
          <w:tcPr>
            <w:tcW w:type="dxa" w:w="5112"/>
            <w:vAlign w:val="top"/>
          </w:tcPr>
          <w:p>
            <w:pPr>
              <w:spacing w:after="40"/>
            </w:pPr>
            <w:r/>
            <w:r>
              <w:rPr>
                <w:b w:val="0"/>
                <w:sz w:val="20"/>
              </w:rPr>
              <w:t>Sensitive documents are not collected unnecessarily</w:t>
            </w:r>
          </w:p>
        </w:tc>
        <w:tc>
          <w:tcPr>
            <w:tcW w:type="dxa" w:w="5112"/>
            <w:vAlign w:val="top"/>
          </w:tcPr>
          <w:p>
            <w:pPr>
              <w:spacing w:after="40"/>
            </w:pPr>
            <w:r/>
            <w:r>
              <w:rPr>
                <w:b w:val="0"/>
                <w:sz w:val="20"/>
              </w:rPr>
            </w:r>
          </w:p>
        </w:tc>
      </w:tr>
      <w:tr>
        <w:tc>
          <w:tcPr>
            <w:tcW w:type="dxa" w:w="5112"/>
            <w:vAlign w:val="top"/>
          </w:tcPr>
          <w:p>
            <w:pPr>
              <w:spacing w:after="40"/>
            </w:pPr>
            <w:r/>
            <w:r>
              <w:rPr>
                <w:b w:val="0"/>
                <w:sz w:val="20"/>
              </w:rPr>
              <w:t>Public sharing consent is separate from completion evidence</w:t>
            </w:r>
          </w:p>
        </w:tc>
        <w:tc>
          <w:tcPr>
            <w:tcW w:type="dxa" w:w="5112"/>
            <w:vAlign w:val="top"/>
          </w:tcPr>
          <w:p>
            <w:pPr>
              <w:spacing w:after="40"/>
            </w:pPr>
            <w:r/>
            <w:r>
              <w:rPr>
                <w:b w:val="0"/>
                <w:sz w:val="20"/>
              </w:rPr>
            </w:r>
          </w:p>
        </w:tc>
      </w:tr>
      <w:tr>
        <w:tc>
          <w:tcPr>
            <w:tcW w:type="dxa" w:w="5112"/>
            <w:vAlign w:val="top"/>
          </w:tcPr>
          <w:p>
            <w:pPr>
              <w:spacing w:after="40"/>
            </w:pPr>
            <w:r/>
            <w:r>
              <w:rPr>
                <w:b w:val="0"/>
                <w:sz w:val="20"/>
              </w:rPr>
              <w:t>Evidence is de-identified where possible for reporting</w:t>
            </w:r>
          </w:p>
        </w:tc>
        <w:tc>
          <w:tcPr>
            <w:tcW w:type="dxa" w:w="5112"/>
            <w:vAlign w:val="top"/>
          </w:tcPr>
          <w:p>
            <w:pPr>
              <w:spacing w:after="40"/>
            </w:pPr>
            <w:r/>
            <w:r>
              <w:rPr>
                <w:b w:val="0"/>
                <w:sz w:val="20"/>
              </w:rPr>
            </w:r>
          </w:p>
        </w:tc>
      </w:tr>
      <w:tr>
        <w:tc>
          <w:tcPr>
            <w:tcW w:type="dxa" w:w="5112"/>
            <w:vAlign w:val="top"/>
          </w:tcPr>
          <w:p>
            <w:pPr>
              <w:spacing w:after="40"/>
            </w:pPr>
            <w:r/>
            <w:r>
              <w:rPr>
                <w:b w:val="0"/>
                <w:sz w:val="20"/>
              </w:rPr>
              <w:t>Storage and retention expectations are clear</w:t>
            </w:r>
          </w:p>
        </w:tc>
        <w:tc>
          <w:tcPr>
            <w:tcW w:type="dxa" w:w="5112"/>
            <w:vAlign w:val="top"/>
          </w:tcPr>
          <w:p>
            <w:pPr>
              <w:spacing w:after="40"/>
            </w:pPr>
            <w:r/>
            <w:r>
              <w:rPr>
                <w:b w:val="0"/>
                <w:sz w:val="20"/>
              </w:rPr>
            </w:r>
          </w:p>
        </w:tc>
      </w:tr>
    </w:tbl>
    <w:p/>
    <w:p>
      <w:pPr>
        <w:pStyle w:val="Heading1"/>
      </w:pPr>
      <w:r>
        <w:t>6. Safe reporting examples</w:t>
      </w:r>
    </w:p>
    <w:tbl>
      <w:tblPr>
        <w:tblStyle w:val="TableGrid"/>
        <w:tblW w:type="auto" w:w="0"/>
        <w:jc w:val="center"/>
        <w:tblLook w:firstColumn="1" w:firstRow="1" w:lastColumn="0" w:lastRow="0" w:noHBand="0" w:noVBand="1" w:val="04A0"/>
      </w:tblPr>
      <w:tblGrid>
        <w:gridCol w:w="5112"/>
        <w:gridCol w:w="5112"/>
      </w:tblGrid>
      <w:tr>
        <w:tc>
          <w:tcPr>
            <w:tcW w:type="dxa" w:w="5112"/>
            <w:shd w:fill="222830"/>
          </w:tcPr>
          <w:p>
            <w:pPr>
              <w:spacing w:after="40"/>
            </w:pPr>
            <w:r/>
            <w:r>
              <w:rPr>
                <w:b/>
                <w:color w:val="FFFFFF"/>
                <w:sz w:val="20"/>
              </w:rPr>
              <w:t>Instead of saying</w:t>
            </w:r>
          </w:p>
        </w:tc>
        <w:tc>
          <w:tcPr>
            <w:tcW w:type="dxa" w:w="5112"/>
            <w:shd w:fill="222830"/>
          </w:tcPr>
          <w:p>
            <w:pPr>
              <w:spacing w:after="40"/>
            </w:pPr>
            <w:r/>
            <w:r>
              <w:rPr>
                <w:b/>
                <w:color w:val="FFFFFF"/>
                <w:sz w:val="20"/>
              </w:rPr>
              <w:t>Use safer wording</w:t>
            </w:r>
          </w:p>
        </w:tc>
      </w:tr>
      <w:tr>
        <w:tc>
          <w:tcPr>
            <w:tcW w:type="dxa" w:w="5112"/>
            <w:vAlign w:val="top"/>
          </w:tcPr>
          <w:p>
            <w:pPr>
              <w:spacing w:after="40"/>
            </w:pPr>
            <w:r/>
            <w:r>
              <w:rPr>
                <w:b w:val="0"/>
                <w:sz w:val="20"/>
              </w:rPr>
              <w:t>EMLS improved mental health.</w:t>
            </w:r>
          </w:p>
        </w:tc>
        <w:tc>
          <w:tcPr>
            <w:tcW w:type="dxa" w:w="5112"/>
            <w:vAlign w:val="top"/>
          </w:tcPr>
          <w:p>
            <w:pPr>
              <w:spacing w:after="40"/>
            </w:pPr>
            <w:r/>
            <w:r>
              <w:rPr>
                <w:b w:val="0"/>
                <w:sz w:val="20"/>
              </w:rPr>
              <w:t>Participants reported increased confidence or engagement during the pilot.</w:t>
            </w:r>
          </w:p>
        </w:tc>
      </w:tr>
      <w:tr>
        <w:tc>
          <w:tcPr>
            <w:tcW w:type="dxa" w:w="5112"/>
            <w:vAlign w:val="top"/>
          </w:tcPr>
          <w:p>
            <w:pPr>
              <w:spacing w:after="40"/>
            </w:pPr>
            <w:r/>
            <w:r>
              <w:rPr>
                <w:b w:val="0"/>
                <w:sz w:val="20"/>
              </w:rPr>
              <w:t>All learners became digitally confident.</w:t>
            </w:r>
          </w:p>
        </w:tc>
        <w:tc>
          <w:tcPr>
            <w:tcW w:type="dxa" w:w="5112"/>
            <w:vAlign w:val="top"/>
          </w:tcPr>
          <w:p>
            <w:pPr>
              <w:spacing w:after="40"/>
            </w:pPr>
            <w:r/>
            <w:r>
              <w:rPr>
                <w:b w:val="0"/>
                <w:sz w:val="20"/>
              </w:rPr>
              <w:t>Learners who completed the follow-up survey reported changes in digital confidence.</w:t>
            </w:r>
          </w:p>
        </w:tc>
      </w:tr>
      <w:tr>
        <w:tc>
          <w:tcPr>
            <w:tcW w:type="dxa" w:w="5112"/>
            <w:vAlign w:val="top"/>
          </w:tcPr>
          <w:p>
            <w:pPr>
              <w:spacing w:after="40"/>
            </w:pPr>
            <w:r/>
            <w:r>
              <w:rPr>
                <w:b w:val="0"/>
                <w:sz w:val="20"/>
              </w:rPr>
              <w:t>The program guaranteed employment outcomes.</w:t>
            </w:r>
          </w:p>
        </w:tc>
        <w:tc>
          <w:tcPr>
            <w:tcW w:type="dxa" w:w="5112"/>
            <w:vAlign w:val="top"/>
          </w:tcPr>
          <w:p>
            <w:pPr>
              <w:spacing w:after="40"/>
            </w:pPr>
            <w:r/>
            <w:r>
              <w:rPr>
                <w:b w:val="0"/>
                <w:sz w:val="20"/>
              </w:rPr>
              <w:t>The program supported practical skills and participation pathways.</w:t>
            </w:r>
          </w:p>
        </w:tc>
      </w:tr>
      <w:tr>
        <w:tc>
          <w:tcPr>
            <w:tcW w:type="dxa" w:w="5112"/>
            <w:vAlign w:val="top"/>
          </w:tcPr>
          <w:p>
            <w:pPr>
              <w:spacing w:after="40"/>
            </w:pPr>
            <w:r/>
            <w:r>
              <w:rPr>
                <w:b w:val="0"/>
                <w:sz w:val="20"/>
              </w:rPr>
              <w:t>The showcase proved community impact.</w:t>
            </w:r>
          </w:p>
        </w:tc>
        <w:tc>
          <w:tcPr>
            <w:tcW w:type="dxa" w:w="5112"/>
            <w:vAlign w:val="top"/>
          </w:tcPr>
          <w:p>
            <w:pPr>
              <w:spacing w:after="40"/>
            </w:pPr>
            <w:r/>
            <w:r>
              <w:rPr>
                <w:b w:val="0"/>
                <w:sz w:val="20"/>
              </w:rPr>
              <w:t>The showcase provided an optional opportunity for recognition and community participation.</w:t>
            </w:r>
          </w:p>
        </w:tc>
      </w:tr>
    </w:tbl>
    <w:p/>
    <w:tbl>
      <w:tblPr>
        <w:tblW w:type="auto" w:w="0"/>
        <w:jc w:val="center"/>
        <w:tblLook w:firstColumn="1" w:firstRow="1" w:lastColumn="0" w:lastRow="0" w:noHBand="0" w:noVBand="1" w:val="04A0"/>
      </w:tblPr>
      <w:tblGrid>
        <w:gridCol w:w="10224"/>
      </w:tblGrid>
      <w:tr>
        <w:tc>
          <w:tcPr>
            <w:tcW w:type="dxa" w:w="10224"/>
            <w:shd w:fill="FFF8F0"/>
          </w:tcPr>
          <w:p>
            <w:r>
              <w:rPr>
                <w:b/>
                <w:color w:val="222830"/>
                <w:sz w:val="24"/>
              </w:rPr>
              <w:t>Consent note</w:t>
            </w:r>
          </w:p>
          <w:p>
            <w:pPr>
              <w:spacing w:after="60"/>
            </w:pPr>
            <w:r>
              <w:t>Creating, completing or verifying a learning activity does not automatically give permission for public sharing. Public use of learner work, images, names, stories or quotes requires separate consent and review.</w:t>
            </w:r>
          </w:p>
        </w:tc>
      </w:tr>
    </w:tbl>
    <w:p/>
    <w:p>
      <w:pPr>
        <w:pStyle w:val="Heading1"/>
      </w:pPr>
      <w:r>
        <w:t>7. Contact</w:t>
      </w:r>
    </w:p>
    <w:p>
      <w:r>
        <w:t>For evidence collection questions, contact EduLinked at founder@edulinked.com.au.</w:t>
      </w:r>
    </w:p>
    <w:sectPr w:rsidR="00FC693F" w:rsidRPr="0006063C" w:rsidSect="00034616">
      <w:headerReference w:type="default" r:id="rId9"/>
      <w:footerReference w:type="default" r:id="rId10"/>
      <w:pgSz w:w="12240" w:h="15840"/>
      <w:pgMar w:top="936" w:right="1008" w:bottom="93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EMLS Evidence Collection Guide | EduLinked | founder@edulinked.com.au</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t>EduLinked | EMLS Evaluation and Reporting</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60" w:lineRule="auto" w:after="160"/>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22283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22283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222830"/>
      <w:sz w:val="26"/>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