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22830"/>
          <w:sz w:val="24"/>
        </w:rPr>
        <w:t>Future Ready</w:t>
      </w:r>
    </w:p>
    <w:p>
      <w:pPr>
        <w:jc w:val="center"/>
      </w:pPr>
      <w:r>
        <w:rPr>
          <w:b/>
          <w:color w:val="222830"/>
          <w:sz w:val="44"/>
        </w:rPr>
        <w:t>Module 3 File-format Guide</w:t>
      </w:r>
    </w:p>
    <w:p>
      <w:pPr>
        <w:jc w:val="center"/>
      </w:pPr>
      <w:r>
        <w:rPr>
          <w:color w:val="4B5563"/>
          <w:sz w:val="24"/>
        </w:rPr>
        <w:t>Accessible files, headings, alt text, readable structure and avoiding image-only documents</w:t>
      </w:r>
    </w:p>
    <w:p/>
    <w:p>
      <w:pPr>
        <w:pStyle w:val="Heading1"/>
      </w:pPr>
      <w:r>
        <w:t>Purpose</w:t>
      </w:r>
    </w:p>
    <w:p>
      <w:r>
        <w:t>Use this guide to make digital files easier to read, navigate, understand and reuse. It supports Future Ready Module 3: Digital Tools.</w:t>
      </w:r>
    </w:p>
    <w:p>
      <w:pPr>
        <w:pStyle w:val="Heading1"/>
      </w:pPr>
      <w:r>
        <w:t>Quick principles</w:t>
      </w:r>
    </w:p>
    <w:p>
      <w:pPr>
        <w:pStyle w:val="ListBullet"/>
      </w:pPr>
      <w:r>
        <w:t>Use real text, not image-only content.</w:t>
      </w:r>
    </w:p>
    <w:p>
      <w:pPr>
        <w:pStyle w:val="ListBullet"/>
      </w:pPr>
      <w:r>
        <w:t>Use headings so people can navigate the file.</w:t>
      </w:r>
    </w:p>
    <w:p>
      <w:pPr>
        <w:pStyle w:val="ListBullet"/>
      </w:pPr>
      <w:r>
        <w:t>Use meaningful link text that explains where the link goes.</w:t>
      </w:r>
    </w:p>
    <w:p>
      <w:pPr>
        <w:pStyle w:val="ListBullet"/>
      </w:pPr>
      <w:r>
        <w:t>Add alt text to meaningful images.</w:t>
      </w:r>
    </w:p>
    <w:p>
      <w:pPr>
        <w:pStyle w:val="ListBullet"/>
      </w:pPr>
      <w:r>
        <w:t>Provide captions and transcripts for video or audio content.</w:t>
      </w:r>
    </w:p>
    <w:p>
      <w:pPr>
        <w:pStyle w:val="ListBullet"/>
      </w:pPr>
      <w:r>
        <w:t>Keep layout clear, readable and not crowded.</w:t>
      </w:r>
    </w:p>
    <w:p>
      <w:pPr>
        <w:pStyle w:val="ListBullet"/>
      </w:pPr>
      <w:r>
        <w:t>Offer another format when people need it.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FF8E6"/>
          </w:tcPr>
          <w:p>
            <w:r>
              <w:rPr>
                <w:b/>
                <w:color w:val="222830"/>
                <w:sz w:val="24"/>
              </w:rPr>
              <w:t>Core idea</w:t>
            </w:r>
          </w:p>
          <w:p>
            <w:r>
              <w:rPr>
                <w:sz w:val="20"/>
              </w:rPr>
              <w:t>A file is not accessible just because it can be downloaded. People need to be able to read it, navigate it, understand it and use it with their preferred tools.</w:t>
            </w:r>
          </w:p>
        </w:tc>
      </w:tr>
    </w:tbl>
    <w:p/>
    <w:p>
      <w:pPr>
        <w:pStyle w:val="Heading1"/>
      </w:pPr>
      <w:r>
        <w:t>File-format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  <w:vAlign w:val="top"/>
          </w:tcPr>
          <w:p>
            <w:r/>
            <w:r>
              <w:rPr>
                <w:b/>
                <w:color w:val="FFFFFF"/>
                <w:sz w:val="20"/>
              </w:rPr>
              <w:t>Check</w:t>
            </w:r>
          </w:p>
        </w:tc>
        <w:tc>
          <w:tcPr>
            <w:tcW w:type="dxa" w:w="5112"/>
            <w:shd w:fill="222830"/>
            <w:vAlign w:val="top"/>
          </w:tcPr>
          <w:p>
            <w:r/>
            <w:r>
              <w:rPr>
                <w:b/>
                <w:color w:val="FFFFFF"/>
                <w:sz w:val="20"/>
              </w:rPr>
              <w:t>What to do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Headings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Use built-in heading styles. Do not just make text bigger or bold.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Reading order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Check that the file reads in a logical order from start to finish.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Plain language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Use clear words, short sections and direct next steps.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Links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Use meaningful link text such as "Download the worksheet" instead of "click here".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Images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Add alt text for meaningful images. Mark decorative images as decorative where the platform allows it.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Tables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Keep tables simple. Use header rows and avoid merged cells where possible.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PDFs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Avoid image-only PDFs. Provide a DOCX or HTML version where possible.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Video and audio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Provide captions, transcripts or another equivalent format.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Forms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Use clear labels, instructions and error messages. Allow enough time and support options.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Another format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Include a way to ask for another format: founder@edulinked.com.au.</w:t>
            </w:r>
          </w:p>
        </w:tc>
      </w:tr>
    </w:tbl>
    <w:p/>
    <w:p>
      <w:pPr>
        <w:pStyle w:val="Heading1"/>
      </w:pPr>
      <w:r>
        <w:t>Better file options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222830"/>
            <w:vAlign w:val="top"/>
          </w:tcPr>
          <w:p>
            <w:r/>
            <w:r>
              <w:rPr>
                <w:b/>
                <w:color w:val="FFFFFF"/>
                <w:sz w:val="20"/>
              </w:rPr>
              <w:t>Instead of this</w:t>
            </w:r>
          </w:p>
        </w:tc>
        <w:tc>
          <w:tcPr>
            <w:tcW w:type="dxa" w:w="5112"/>
            <w:shd w:fill="222830"/>
            <w:vAlign w:val="top"/>
          </w:tcPr>
          <w:p>
            <w:r/>
            <w:r>
              <w:rPr>
                <w:b/>
                <w:color w:val="FFFFFF"/>
                <w:sz w:val="20"/>
              </w:rPr>
              <w:t>Use this where possible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Image-only PDF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Tagged PDF, DOCX, HTML page or plain text version.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Long unstructured document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Document with headings, short sections and a summary.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Scanned form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Accessible online form or editable document with clear labels.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Video without captions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Video with captions and a transcript.</w:t>
            </w:r>
          </w:p>
        </w:tc>
      </w:tr>
      <w:tr>
        <w:tc>
          <w:tcPr>
            <w:tcW w:type="dxa" w:w="5112"/>
            <w:vAlign w:val="top"/>
          </w:tcPr>
          <w:p>
            <w:r>
              <w:rPr>
                <w:sz w:val="20"/>
              </w:rPr>
              <w:t>Complex brochure only</w:t>
            </w:r>
          </w:p>
        </w:tc>
        <w:tc>
          <w:tcPr>
            <w:tcW w:type="dxa" w:w="5112"/>
            <w:vAlign w:val="top"/>
          </w:tcPr>
          <w:p>
            <w:r>
              <w:rPr>
                <w:sz w:val="20"/>
              </w:rPr>
              <w:t>Brochure plus Easy Read, plain language or HTML version.</w:t>
            </w:r>
          </w:p>
        </w:tc>
      </w:tr>
    </w:tbl>
    <w:p/>
    <w:p>
      <w:pPr>
        <w:pStyle w:val="Heading1"/>
      </w:pPr>
      <w:r>
        <w:t>Access and alternate formats</w:t>
      </w:r>
    </w:p>
    <w:p>
      <w:r>
        <w:t>You can ask for this resource in another format. Contact: founder@edulinked.com.au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4B5563"/>
        <w:sz w:val="18"/>
      </w:rPr>
      <w:t>Future Ready - Module 3 Digital Tools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rPr>
        <w:color w:val="4B5563"/>
        <w:sz w:val="18"/>
      </w:rPr>
      <w:t>Future Ready | EduLinked | founder@edulinked.com.au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