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222830"/>
          <w:sz w:val="24"/>
        </w:rPr>
        <w:t>Future Ready</w:t>
      </w:r>
    </w:p>
    <w:p>
      <w:pPr>
        <w:jc w:val="center"/>
      </w:pPr>
      <w:r>
        <w:rPr>
          <w:b/>
          <w:color w:val="222830"/>
          <w:sz w:val="44"/>
        </w:rPr>
        <w:t>Module 3 Summary Handout - Digital Tools</w:t>
      </w:r>
    </w:p>
    <w:p>
      <w:pPr>
        <w:jc w:val="center"/>
      </w:pPr>
      <w:r>
        <w:rPr>
          <w:color w:val="4B5563"/>
          <w:sz w:val="24"/>
        </w:rPr>
        <w:t>Digital accessibility, readable formats and practical tools</w:t>
      </w:r>
    </w:p>
    <w:p/>
    <w:p>
      <w:pPr>
        <w:pStyle w:val="Heading1"/>
      </w:pPr>
      <w:r>
        <w:t>Module summary</w:t>
      </w:r>
    </w:p>
    <w:p>
      <w:r>
        <w:t>Module 3 focuses on common digital barriers and simple adjustments that improve accessibility across websites, forms, files and online communication.</w:t>
      </w:r>
    </w:p>
    <w:tbl>
      <w:tblPr>
        <w:tblStyle w:val="TableGrid"/>
        <w:tblW w:type="auto" w:w="0"/>
        <w:jc w:val="center"/>
        <w:tblLook w:firstColumn="1" w:firstRow="1" w:lastColumn="0" w:lastRow="0" w:noHBand="0" w:noVBand="1" w:val="04A0"/>
      </w:tblPr>
      <w:tblGrid>
        <w:gridCol w:w="5112"/>
        <w:gridCol w:w="5112"/>
      </w:tblGrid>
      <w:tr>
        <w:tc>
          <w:tcPr>
            <w:tcW w:type="dxa" w:w="5112"/>
            <w:shd w:fill="222830"/>
            <w:vAlign w:val="top"/>
          </w:tcPr>
          <w:p>
            <w:r/>
            <w:r>
              <w:rPr>
                <w:b/>
                <w:color w:val="FFFFFF"/>
                <w:sz w:val="20"/>
              </w:rPr>
              <w:t>Module detail</w:t>
            </w:r>
          </w:p>
        </w:tc>
        <w:tc>
          <w:tcPr>
            <w:tcW w:type="dxa" w:w="5112"/>
            <w:shd w:fill="222830"/>
            <w:vAlign w:val="top"/>
          </w:tcPr>
          <w:p>
            <w:r/>
            <w:r>
              <w:rPr>
                <w:b/>
                <w:color w:val="FFFFFF"/>
                <w:sz w:val="20"/>
              </w:rPr>
              <w:t>Summary</w:t>
            </w:r>
          </w:p>
        </w:tc>
      </w:tr>
      <w:tr>
        <w:tc>
          <w:tcPr>
            <w:tcW w:type="dxa" w:w="5112"/>
            <w:vAlign w:val="top"/>
          </w:tcPr>
          <w:p>
            <w:r>
              <w:rPr>
                <w:sz w:val="20"/>
              </w:rPr>
              <w:t>Module</w:t>
            </w:r>
          </w:p>
        </w:tc>
        <w:tc>
          <w:tcPr>
            <w:tcW w:type="dxa" w:w="5112"/>
            <w:vAlign w:val="top"/>
          </w:tcPr>
          <w:p>
            <w:r>
              <w:rPr>
                <w:sz w:val="20"/>
              </w:rPr>
              <w:t>Module 3 - Digital Tools</w:t>
            </w:r>
          </w:p>
        </w:tc>
      </w:tr>
      <w:tr>
        <w:tc>
          <w:tcPr>
            <w:tcW w:type="dxa" w:w="5112"/>
            <w:vAlign w:val="top"/>
          </w:tcPr>
          <w:p>
            <w:r>
              <w:rPr>
                <w:sz w:val="20"/>
              </w:rPr>
              <w:t>Estimated time</w:t>
            </w:r>
          </w:p>
        </w:tc>
        <w:tc>
          <w:tcPr>
            <w:tcW w:type="dxa" w:w="5112"/>
            <w:vAlign w:val="top"/>
          </w:tcPr>
          <w:p>
            <w:r>
              <w:rPr>
                <w:sz w:val="20"/>
              </w:rPr>
              <w:t>20-30 minutes</w:t>
            </w:r>
          </w:p>
        </w:tc>
      </w:tr>
      <w:tr>
        <w:tc>
          <w:tcPr>
            <w:tcW w:type="dxa" w:w="5112"/>
            <w:vAlign w:val="top"/>
          </w:tcPr>
          <w:p>
            <w:r>
              <w:rPr>
                <w:sz w:val="20"/>
              </w:rPr>
              <w:t>Focus</w:t>
            </w:r>
          </w:p>
        </w:tc>
        <w:tc>
          <w:tcPr>
            <w:tcW w:type="dxa" w:w="5112"/>
            <w:vAlign w:val="top"/>
          </w:tcPr>
          <w:p>
            <w:r>
              <w:rPr>
                <w:sz w:val="20"/>
              </w:rPr>
              <w:t>Websites, forms, files, online messages and digital services</w:t>
            </w:r>
          </w:p>
        </w:tc>
      </w:tr>
      <w:tr>
        <w:tc>
          <w:tcPr>
            <w:tcW w:type="dxa" w:w="5112"/>
            <w:vAlign w:val="top"/>
          </w:tcPr>
          <w:p>
            <w:r>
              <w:rPr>
                <w:sz w:val="20"/>
              </w:rPr>
              <w:t>Activity</w:t>
            </w:r>
          </w:p>
        </w:tc>
        <w:tc>
          <w:tcPr>
            <w:tcW w:type="dxa" w:w="5112"/>
            <w:vAlign w:val="top"/>
          </w:tcPr>
          <w:p>
            <w:r>
              <w:rPr>
                <w:sz w:val="20"/>
              </w:rPr>
              <w:t>Review one digital touchpoint</w:t>
            </w:r>
          </w:p>
        </w:tc>
      </w:tr>
      <w:tr>
        <w:tc>
          <w:tcPr>
            <w:tcW w:type="dxa" w:w="5112"/>
            <w:vAlign w:val="top"/>
          </w:tcPr>
          <w:p>
            <w:r>
              <w:rPr>
                <w:sz w:val="20"/>
              </w:rPr>
              <w:t>Output</w:t>
            </w:r>
          </w:p>
        </w:tc>
        <w:tc>
          <w:tcPr>
            <w:tcW w:type="dxa" w:w="5112"/>
            <w:vAlign w:val="top"/>
          </w:tcPr>
          <w:p>
            <w:r>
              <w:rPr>
                <w:sz w:val="20"/>
              </w:rPr>
              <w:t>One practical digital accessibility improvement</w:t>
            </w:r>
          </w:p>
        </w:tc>
      </w:tr>
    </w:tbl>
    <w:p/>
    <w:p>
      <w:pPr>
        <w:pStyle w:val="Heading1"/>
      </w:pPr>
      <w:r>
        <w:t>Key ideas</w:t>
      </w:r>
    </w:p>
    <w:p>
      <w:pPr>
        <w:pStyle w:val="ListBullet"/>
      </w:pPr>
      <w:r>
        <w:t>Digital access affects whether people can read information, complete forms, respond to communication, use files and take part in services online.</w:t>
      </w:r>
    </w:p>
    <w:p>
      <w:pPr>
        <w:pStyle w:val="ListBullet"/>
      </w:pPr>
      <w:r>
        <w:t>Digital barriers are often created by systems, formats, structure, missing alternatives or unclear instructions.</w:t>
      </w:r>
    </w:p>
    <w:p>
      <w:pPr>
        <w:pStyle w:val="ListBullet"/>
      </w:pPr>
      <w:r>
        <w:t>Small improvements can make a real difference when they remove everyday access barriers.</w:t>
      </w:r>
    </w:p>
    <w:p>
      <w:pPr>
        <w:pStyle w:val="ListBullet"/>
      </w:pPr>
      <w:r>
        <w:t>Accessible digital information should be clear, navigable, readable and available in more than one way.</w:t>
      </w:r>
    </w:p>
    <w:p>
      <w:pPr>
        <w:pStyle w:val="Heading1"/>
      </w:pPr>
      <w:r>
        <w:t>Common digital barriers</w:t>
      </w:r>
    </w:p>
    <w:tbl>
      <w:tblPr>
        <w:tblStyle w:val="TableGrid"/>
        <w:tblW w:type="auto" w:w="0"/>
        <w:jc w:val="center"/>
        <w:tblLook w:firstColumn="1" w:firstRow="1" w:lastColumn="0" w:lastRow="0" w:noHBand="0" w:noVBand="1" w:val="04A0"/>
      </w:tblPr>
      <w:tblGrid>
        <w:gridCol w:w="5112"/>
        <w:gridCol w:w="5112"/>
      </w:tblGrid>
      <w:tr>
        <w:tc>
          <w:tcPr>
            <w:tcW w:type="dxa" w:w="5112"/>
            <w:shd w:fill="222830"/>
            <w:vAlign w:val="top"/>
          </w:tcPr>
          <w:p>
            <w:r/>
            <w:r>
              <w:rPr>
                <w:b/>
                <w:color w:val="FFFFFF"/>
                <w:sz w:val="20"/>
              </w:rPr>
              <w:t>Barrier</w:t>
            </w:r>
          </w:p>
        </w:tc>
        <w:tc>
          <w:tcPr>
            <w:tcW w:type="dxa" w:w="5112"/>
            <w:shd w:fill="222830"/>
            <w:vAlign w:val="top"/>
          </w:tcPr>
          <w:p>
            <w:r/>
            <w:r>
              <w:rPr>
                <w:b/>
                <w:color w:val="FFFFFF"/>
                <w:sz w:val="20"/>
              </w:rPr>
              <w:t>Example</w:t>
            </w:r>
          </w:p>
        </w:tc>
      </w:tr>
      <w:tr>
        <w:tc>
          <w:tcPr>
            <w:tcW w:type="dxa" w:w="5112"/>
            <w:vAlign w:val="top"/>
          </w:tcPr>
          <w:p>
            <w:r>
              <w:rPr>
                <w:sz w:val="20"/>
              </w:rPr>
              <w:t>Unclear navigation</w:t>
            </w:r>
          </w:p>
        </w:tc>
        <w:tc>
          <w:tcPr>
            <w:tcW w:type="dxa" w:w="5112"/>
            <w:vAlign w:val="top"/>
          </w:tcPr>
          <w:p>
            <w:r>
              <w:rPr>
                <w:sz w:val="20"/>
              </w:rPr>
              <w:t>People cannot find the information, form or next step.</w:t>
            </w:r>
          </w:p>
        </w:tc>
      </w:tr>
      <w:tr>
        <w:tc>
          <w:tcPr>
            <w:tcW w:type="dxa" w:w="5112"/>
            <w:vAlign w:val="top"/>
          </w:tcPr>
          <w:p>
            <w:r>
              <w:rPr>
                <w:sz w:val="20"/>
              </w:rPr>
              <w:t>Hard-to-read layout</w:t>
            </w:r>
          </w:p>
        </w:tc>
        <w:tc>
          <w:tcPr>
            <w:tcW w:type="dxa" w:w="5112"/>
            <w:vAlign w:val="top"/>
          </w:tcPr>
          <w:p>
            <w:r>
              <w:rPr>
                <w:sz w:val="20"/>
              </w:rPr>
              <w:t>Text is crowded, contrast is poor or spacing is difficult to follow.</w:t>
            </w:r>
          </w:p>
        </w:tc>
      </w:tr>
      <w:tr>
        <w:tc>
          <w:tcPr>
            <w:tcW w:type="dxa" w:w="5112"/>
            <w:vAlign w:val="top"/>
          </w:tcPr>
          <w:p>
            <w:r>
              <w:rPr>
                <w:sz w:val="20"/>
              </w:rPr>
              <w:t>Inaccessible files</w:t>
            </w:r>
          </w:p>
        </w:tc>
        <w:tc>
          <w:tcPr>
            <w:tcW w:type="dxa" w:w="5112"/>
            <w:vAlign w:val="top"/>
          </w:tcPr>
          <w:p>
            <w:r>
              <w:rPr>
                <w:sz w:val="20"/>
              </w:rPr>
              <w:t>PDFs are image-only, untagged or hard to navigate.</w:t>
            </w:r>
          </w:p>
        </w:tc>
      </w:tr>
      <w:tr>
        <w:tc>
          <w:tcPr>
            <w:tcW w:type="dxa" w:w="5112"/>
            <w:vAlign w:val="top"/>
          </w:tcPr>
          <w:p>
            <w:r>
              <w:rPr>
                <w:sz w:val="20"/>
              </w:rPr>
              <w:t>Missing alternatives</w:t>
            </w:r>
          </w:p>
        </w:tc>
        <w:tc>
          <w:tcPr>
            <w:tcW w:type="dxa" w:w="5112"/>
            <w:vAlign w:val="top"/>
          </w:tcPr>
          <w:p>
            <w:r>
              <w:rPr>
                <w:sz w:val="20"/>
              </w:rPr>
              <w:t>Images have no alt text; videos have no captions or transcript.</w:t>
            </w:r>
          </w:p>
        </w:tc>
      </w:tr>
      <w:tr>
        <w:tc>
          <w:tcPr>
            <w:tcW w:type="dxa" w:w="5112"/>
            <w:vAlign w:val="top"/>
          </w:tcPr>
          <w:p>
            <w:r>
              <w:rPr>
                <w:sz w:val="20"/>
              </w:rPr>
              <w:t>Difficult forms</w:t>
            </w:r>
          </w:p>
        </w:tc>
        <w:tc>
          <w:tcPr>
            <w:tcW w:type="dxa" w:w="5112"/>
            <w:vAlign w:val="top"/>
          </w:tcPr>
          <w:p>
            <w:r>
              <w:rPr>
                <w:sz w:val="20"/>
              </w:rPr>
              <w:t>Labels are unclear, errors are hard to fix or there is only one way to respond.</w:t>
            </w:r>
          </w:p>
        </w:tc>
      </w:tr>
      <w:tr>
        <w:tc>
          <w:tcPr>
            <w:tcW w:type="dxa" w:w="5112"/>
            <w:vAlign w:val="top"/>
          </w:tcPr>
          <w:p>
            <w:r>
              <w:rPr>
                <w:sz w:val="20"/>
              </w:rPr>
              <w:t>Unclear support pathway</w:t>
            </w:r>
          </w:p>
        </w:tc>
        <w:tc>
          <w:tcPr>
            <w:tcW w:type="dxa" w:w="5112"/>
            <w:vAlign w:val="top"/>
          </w:tcPr>
          <w:p>
            <w:r>
              <w:rPr>
                <w:sz w:val="20"/>
              </w:rPr>
              <w:t>People do not know who to contact or how to ask for another format.</w:t>
            </w:r>
          </w:p>
        </w:tc>
      </w:tr>
    </w:tbl>
    <w:p/>
    <w:p>
      <w:pPr>
        <w:pStyle w:val="Heading1"/>
      </w:pPr>
      <w:r>
        <w:t>One practical improvement</w:t>
      </w:r>
    </w:p>
    <w:p>
      <w:r>
        <w:t>Choose one digital touchpoint. Review what the person is trying to do. Notice what works well. Identify one access barrier. Choose one realistic improvement and decide how it will be checked.</w:t>
      </w:r>
    </w:p>
    <w:p>
      <w:pPr>
        <w:pStyle w:val="Heading1"/>
      </w:pPr>
      <w:r>
        <w:t>Access and alternate formats</w:t>
      </w:r>
    </w:p>
    <w:p>
      <w:r>
        <w:t>You can ask for this resource in another format. Contact: founder@edulinked.com.au</w:t>
      </w:r>
    </w:p>
    <w:sectPr w:rsidR="00FC693F" w:rsidRPr="0006063C" w:rsidSect="00034616">
      <w:headerReference w:type="default" r:id="rId9"/>
      <w:footerReference w:type="default" r:id="rId10"/>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r>
      <w:rPr>
        <w:color w:val="4B5563"/>
        <w:sz w:val="18"/>
      </w:rPr>
      <w:t>Future Ready - Module 3 Digital Tools</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r>
      <w:rPr>
        <w:color w:val="4B5563"/>
        <w:sz w:val="18"/>
      </w:rPr>
      <w:t>Future Ready | EduLinked | founder@edulinked.com.au</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3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