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line="480" w:lineRule="auto" w:after="240" w:before="0"/>
        <w:jc w:val="center"/>
      </w:pPr>
      <w:r>
        <w:t>Amplify Youth Video Voices Lab - Partner and Referrer Overview</w:t>
      </w:r>
    </w:p>
    <w:p>
      <w:pPr>
        <w:spacing w:line="480" w:lineRule="auto" w:after="240" w:before="0"/>
        <w:jc w:val="center"/>
      </w:pPr>
      <w:r>
        <w:rPr>
          <w:b/>
          <w:sz w:val="28"/>
        </w:rPr>
        <w:t>Easy Read-style draft - double spaced</w:t>
      </w:r>
    </w:p>
    <w:p>
      <w:pPr>
        <w:spacing w:line="480" w:lineRule="auto" w:after="240" w:before="0"/>
      </w:pPr>
      <w:r>
        <w:rPr>
          <w:b/>
          <w:i w:val="0"/>
        </w:rPr>
        <w:t>Project: PRJ-2026-006_Amplify Youth</w:t>
      </w:r>
    </w:p>
    <w:p>
      <w:pPr>
        <w:spacing w:line="480" w:lineRule="auto" w:after="240" w:before="0"/>
      </w:pPr>
      <w:r>
        <w:rPr>
          <w:b w:val="0"/>
          <w:i w:val="0"/>
        </w:rPr>
        <w:t>Root media path after upload: /media/website_pages/amplify-youth-video-voices-lab/partner-referrer-overview.pdf and /media/website_pages/amplify-youth-video-voices-lab/partner-referrer-overview.docx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Important note</w:t>
      </w:r>
    </w:p>
    <w:p>
      <w:pPr>
        <w:spacing w:line="480" w:lineRule="auto" w:after="240" w:before="0"/>
      </w:pPr>
      <w:r>
        <w:rPr>
          <w:b w:val="0"/>
          <w:i w:val="0"/>
        </w:rPr>
        <w:t>This is an Easy Read-style draft.</w:t>
      </w:r>
    </w:p>
    <w:p>
      <w:pPr>
        <w:spacing w:line="480" w:lineRule="auto" w:after="240" w:before="0"/>
      </w:pPr>
      <w:r>
        <w:rPr>
          <w:b w:val="0"/>
          <w:i w:val="0"/>
        </w:rPr>
        <w:t>It should be checked before public use.</w:t>
      </w:r>
    </w:p>
    <w:p>
      <w:pPr>
        <w:spacing w:line="480" w:lineRule="auto" w:after="240" w:before="0"/>
      </w:pPr>
      <w:r>
        <w:rPr>
          <w:b w:val="0"/>
          <w:i w:val="0"/>
        </w:rPr>
        <w:t>Images and symbols should be licensed or approved before final publication.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Audience</w:t>
      </w:r>
    </w:p>
    <w:p>
      <w:pPr>
        <w:spacing w:line="480" w:lineRule="auto" w:after="240" w:before="0"/>
      </w:pPr>
      <w:r>
        <w:rPr>
          <w:b w:val="0"/>
          <w:i w:val="0"/>
        </w:rPr>
        <w:t>Schools, youth services, disability organisations, councils, libraries, arts organisations and community partners.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Purpose</w:t>
      </w:r>
    </w:p>
    <w:p>
      <w:pPr>
        <w:spacing w:line="480" w:lineRule="auto" w:after="240" w:before="0"/>
      </w:pPr>
      <w:r>
        <w:rPr>
          <w:b w:val="0"/>
          <w:i w:val="0"/>
        </w:rPr>
        <w:t>This guide explains possible partnership and referral interest.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Important status</w:t>
      </w:r>
    </w:p>
    <w:p>
      <w:pPr>
        <w:pStyle w:val="ListBullet"/>
        <w:spacing w:line="480" w:lineRule="auto" w:after="240" w:before="0"/>
      </w:pPr>
      <w:r>
        <w:rPr>
          <w:sz w:val="28"/>
        </w:rPr>
        <w:t>The program is planned.</w:t>
      </w:r>
    </w:p>
    <w:p>
      <w:pPr>
        <w:pStyle w:val="ListBullet"/>
        <w:spacing w:line="480" w:lineRule="auto" w:after="240" w:before="0"/>
      </w:pPr>
      <w:r>
        <w:rPr>
          <w:sz w:val="28"/>
        </w:rPr>
        <w:t>Referral, tutoring and showcase pathways are not yet launched.</w:t>
      </w:r>
    </w:p>
    <w:p>
      <w:pPr>
        <w:pStyle w:val="ListBullet"/>
        <w:spacing w:line="480" w:lineRule="auto" w:after="240" w:before="0"/>
      </w:pPr>
      <w:r>
        <w:rPr>
          <w:sz w:val="28"/>
        </w:rPr>
        <w:t>All partner arrangements need written confirmation.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Possible partner roles</w:t>
      </w:r>
    </w:p>
    <w:p>
      <w:pPr>
        <w:pStyle w:val="ListBullet"/>
        <w:spacing w:line="480" w:lineRule="auto" w:after="240" w:before="0"/>
      </w:pPr>
      <w:r>
        <w:rPr>
          <w:sz w:val="28"/>
        </w:rPr>
        <w:t>Referral partner.</w:t>
      </w:r>
    </w:p>
    <w:p>
      <w:pPr>
        <w:pStyle w:val="ListBullet"/>
        <w:spacing w:line="480" w:lineRule="auto" w:after="240" w:before="0"/>
      </w:pPr>
      <w:r>
        <w:rPr>
          <w:sz w:val="28"/>
        </w:rPr>
        <w:t>Access and inclusion partner.</w:t>
      </w:r>
    </w:p>
    <w:p>
      <w:pPr>
        <w:pStyle w:val="ListBullet"/>
        <w:spacing w:line="480" w:lineRule="auto" w:after="240" w:before="0"/>
      </w:pPr>
      <w:r>
        <w:rPr>
          <w:sz w:val="28"/>
        </w:rPr>
        <w:t>Venue or community partner.</w:t>
      </w:r>
    </w:p>
    <w:p>
      <w:pPr>
        <w:pStyle w:val="ListBullet"/>
        <w:spacing w:line="480" w:lineRule="auto" w:after="240" w:before="0"/>
      </w:pPr>
      <w:r>
        <w:rPr>
          <w:sz w:val="28"/>
        </w:rPr>
        <w:t>Creative or media partner.</w:t>
      </w:r>
    </w:p>
    <w:p>
      <w:pPr>
        <w:pStyle w:val="ListBullet"/>
        <w:spacing w:line="480" w:lineRule="auto" w:after="240" w:before="0"/>
      </w:pPr>
      <w:r>
        <w:rPr>
          <w:sz w:val="28"/>
        </w:rPr>
        <w:t>Youth service partner.</w:t>
      </w:r>
    </w:p>
    <w:p>
      <w:pPr>
        <w:pStyle w:val="ListBullet"/>
        <w:spacing w:line="480" w:lineRule="auto" w:after="240" w:before="0"/>
      </w:pPr>
      <w:r>
        <w:rPr>
          <w:sz w:val="28"/>
        </w:rPr>
        <w:t>Evaluation or learning partner.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Referral principle</w:t>
      </w:r>
    </w:p>
    <w:p>
      <w:pPr>
        <w:pStyle w:val="ListBullet"/>
        <w:spacing w:line="480" w:lineRule="auto" w:after="240" w:before="0"/>
      </w:pPr>
      <w:r>
        <w:rPr>
          <w:sz w:val="28"/>
        </w:rPr>
        <w:t>A referral should not happen without the young person knowing where possible.</w:t>
      </w:r>
    </w:p>
    <w:p>
      <w:pPr>
        <w:pStyle w:val="ListBullet"/>
        <w:spacing w:line="480" w:lineRule="auto" w:after="240" w:before="0"/>
      </w:pPr>
      <w:r>
        <w:rPr>
          <w:sz w:val="28"/>
        </w:rPr>
        <w:t>The young person’s interest, comfort and consent should be central.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Access principle</w:t>
      </w:r>
    </w:p>
    <w:p>
      <w:pPr>
        <w:pStyle w:val="ListBullet"/>
        <w:spacing w:line="480" w:lineRule="auto" w:after="240" w:before="0"/>
      </w:pPr>
      <w:r>
        <w:rPr>
          <w:sz w:val="28"/>
        </w:rPr>
        <w:t>Ask what helps this young person take part.</w:t>
      </w:r>
    </w:p>
    <w:p>
      <w:pPr>
        <w:pStyle w:val="ListBullet"/>
        <w:spacing w:line="480" w:lineRule="auto" w:after="240" w:before="0"/>
      </w:pPr>
      <w:r>
        <w:rPr>
          <w:sz w:val="28"/>
        </w:rPr>
        <w:t>Do not require diagnosis disclosure unless needed for a specific support reason.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Media safety</w:t>
      </w:r>
    </w:p>
    <w:p>
      <w:pPr>
        <w:pStyle w:val="ListBullet"/>
        <w:spacing w:line="480" w:lineRule="auto" w:after="240" w:before="0"/>
      </w:pPr>
      <w:r>
        <w:rPr>
          <w:sz w:val="28"/>
        </w:rPr>
        <w:t>Do not publish, screen, photograph, identify or promote learner work without confirmed consent and EduLinked agreement.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Contact</w:t>
      </w:r>
    </w:p>
    <w:p>
      <w:pPr>
        <w:pStyle w:val="ListBullet"/>
        <w:spacing w:line="480" w:lineRule="auto" w:after="240" w:before="0"/>
      </w:pPr>
      <w:r>
        <w:rPr>
          <w:sz w:val="28"/>
        </w:rPr>
        <w:t>Partnership questions can be sent to founder@edulinked.com.au.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No guarantee statement</w:t>
      </w:r>
    </w:p>
    <w:p>
      <w:pPr>
        <w:spacing w:line="480" w:lineRule="auto" w:after="240" w:before="0"/>
      </w:pPr>
      <w:r>
        <w:rPr>
          <w:b w:val="0"/>
          <w:i w:val="0"/>
        </w:rPr>
        <w:t>This learning pathway supports creative skills, accessible media awareness and participant-owned project outputs.</w:t>
      </w:r>
    </w:p>
    <w:p>
      <w:pPr>
        <w:spacing w:line="480" w:lineRule="auto" w:after="240" w:before="0"/>
      </w:pPr>
      <w:r>
        <w:rPr>
          <w:b w:val="0"/>
          <w:i w:val="0"/>
        </w:rPr>
        <w:t>It does not guarantee employment, income, funding approval, public screening, online reach, therapeutic outcomes or formal accreditation.</w:t>
      </w:r>
    </w:p>
    <w:p>
      <w:pPr>
        <w:pStyle w:val="Heading1"/>
        <w:spacing w:line="480" w:lineRule="auto" w:after="240" w:before="0"/>
      </w:pPr>
      <w:r>
        <w:rPr>
          <w:b w:val="0"/>
          <w:i w:val="0"/>
        </w:rPr>
        <w:t>Accessibility checks used in this draft</w:t>
      </w:r>
    </w:p>
    <w:p>
      <w:pPr>
        <w:pStyle w:val="ListBullet"/>
        <w:spacing w:line="480" w:lineRule="auto" w:after="240" w:before="0"/>
      </w:pPr>
      <w:r>
        <w:rPr>
          <w:sz w:val="28"/>
        </w:rPr>
        <w:t>Short sentences.</w:t>
      </w:r>
    </w:p>
    <w:p>
      <w:pPr>
        <w:pStyle w:val="ListBullet"/>
        <w:spacing w:line="480" w:lineRule="auto" w:after="240" w:before="0"/>
      </w:pPr>
      <w:r>
        <w:rPr>
          <w:sz w:val="28"/>
        </w:rPr>
        <w:t>One idea per paragraph where possible.</w:t>
      </w:r>
    </w:p>
    <w:p>
      <w:pPr>
        <w:pStyle w:val="ListBullet"/>
        <w:spacing w:line="480" w:lineRule="auto" w:after="240" w:before="0"/>
      </w:pPr>
      <w:r>
        <w:rPr>
          <w:sz w:val="28"/>
        </w:rPr>
        <w:t>Clear headings.</w:t>
      </w:r>
    </w:p>
    <w:p>
      <w:pPr>
        <w:pStyle w:val="ListBullet"/>
        <w:spacing w:line="480" w:lineRule="auto" w:after="240" w:before="0"/>
      </w:pPr>
      <w:r>
        <w:rPr>
          <w:sz w:val="28"/>
        </w:rPr>
        <w:t>Large readable text.</w:t>
      </w:r>
    </w:p>
    <w:p>
      <w:pPr>
        <w:pStyle w:val="ListBullet"/>
        <w:spacing w:line="480" w:lineRule="auto" w:after="240" w:before="0"/>
      </w:pPr>
      <w:r>
        <w:rPr>
          <w:sz w:val="28"/>
        </w:rPr>
        <w:t>Double line spacing.</w:t>
      </w:r>
    </w:p>
    <w:p>
      <w:pPr>
        <w:pStyle w:val="ListBullet"/>
        <w:spacing w:line="480" w:lineRule="auto" w:after="240" w:before="0"/>
      </w:pPr>
      <w:r>
        <w:rPr>
          <w:sz w:val="28"/>
        </w:rPr>
        <w:t>Plain language.</w:t>
      </w:r>
    </w:p>
    <w:p>
      <w:pPr>
        <w:pStyle w:val="ListBullet"/>
        <w:spacing w:line="480" w:lineRule="auto" w:after="240" w:before="0"/>
      </w:pPr>
      <w:r>
        <w:rPr>
          <w:sz w:val="28"/>
        </w:rPr>
        <w:t>No-camera participation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Private completion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Consent before sharing stated where relevant.</w:t>
      </w:r>
    </w:p>
    <w:p>
      <w:pPr>
        <w:pStyle w:val="ListBullet"/>
        <w:spacing w:line="480" w:lineRule="auto" w:after="240" w:before="0"/>
      </w:pPr>
      <w:r>
        <w:rPr>
          <w:sz w:val="28"/>
        </w:rPr>
        <w:t>Contact email included: founder@edulinked.com.au.</w:t>
      </w:r>
    </w:p>
    <w:sectPr w:rsidR="00FC693F" w:rsidRPr="0006063C" w:rsidSect="00034616">
      <w:footerReference w:type="default" r:id="rId9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line="480" w:lineRule="auto" w:after="240" w:before="0"/>
      <w:jc w:val="center"/>
    </w:pPr>
    <w:r>
      <w:t>EduLinked - Amplify Youth Video Voices Lab - Easy Read-style draft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